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A5FAF" w14:textId="4CC899E7" w:rsidR="007A6D02" w:rsidRPr="007A6D02" w:rsidRDefault="007A6D02" w:rsidP="007A6D02">
      <w:pPr>
        <w:pStyle w:val="CRCoverPage"/>
        <w:tabs>
          <w:tab w:val="right" w:pos="9639"/>
        </w:tabs>
        <w:spacing w:after="0"/>
        <w:rPr>
          <w:rFonts w:ascii="Arial" w:eastAsia="MS Mincho" w:hAnsi="Arial" w:cs="Times New Roman"/>
          <w:b/>
          <w:sz w:val="24"/>
        </w:rPr>
      </w:pPr>
      <w:bookmarkStart w:id="0" w:name="_Hlk187399964"/>
      <w:bookmarkStart w:id="1" w:name="_Toc193024528"/>
      <w:bookmarkStart w:id="2" w:name="_Hlk187400005"/>
      <w:r w:rsidRPr="007A6D02">
        <w:rPr>
          <w:rFonts w:ascii="Arial" w:eastAsia="MS Mincho" w:hAnsi="Arial" w:cs="Times New Roman"/>
          <w:b/>
          <w:sz w:val="24"/>
        </w:rPr>
        <w:t>3GPP TSG-RAN WG2 Meeting #1</w:t>
      </w:r>
      <w:r>
        <w:rPr>
          <w:rFonts w:ascii="Arial" w:eastAsia="MS Mincho" w:hAnsi="Arial" w:cs="Times New Roman"/>
          <w:b/>
          <w:sz w:val="24"/>
        </w:rPr>
        <w:t>3</w:t>
      </w:r>
      <w:r w:rsidR="00BC6CC0">
        <w:rPr>
          <w:rFonts w:ascii="Arial" w:eastAsia="MS Mincho" w:hAnsi="Arial" w:cs="Times New Roman"/>
          <w:b/>
          <w:sz w:val="24"/>
        </w:rPr>
        <w:t>1</w:t>
      </w:r>
      <w:r w:rsidRPr="007A6D02">
        <w:rPr>
          <w:rFonts w:ascii="Arial" w:eastAsia="MS Mincho" w:hAnsi="Arial" w:cs="Times New Roman"/>
          <w:b/>
          <w:sz w:val="24"/>
        </w:rPr>
        <w:tab/>
        <w:t>R2-</w:t>
      </w:r>
      <w:r w:rsidR="00936BEB" w:rsidRPr="007A6D02">
        <w:rPr>
          <w:rFonts w:ascii="Arial" w:eastAsia="MS Mincho" w:hAnsi="Arial" w:cs="Times New Roman"/>
          <w:b/>
          <w:sz w:val="24"/>
        </w:rPr>
        <w:t>25</w:t>
      </w:r>
      <w:r w:rsidR="00936BEB">
        <w:rPr>
          <w:rFonts w:ascii="Arial" w:eastAsia="MS Mincho" w:hAnsi="Arial" w:cs="Times New Roman"/>
          <w:b/>
          <w:sz w:val="24"/>
        </w:rPr>
        <w:t>05738</w:t>
      </w:r>
    </w:p>
    <w:p w14:paraId="7D356568" w14:textId="1F9B4CB0" w:rsidR="007A6D02" w:rsidRPr="000612D7" w:rsidRDefault="000612D7" w:rsidP="000612D7">
      <w:pPr>
        <w:tabs>
          <w:tab w:val="left" w:pos="1701"/>
          <w:tab w:val="right" w:pos="9639"/>
        </w:tabs>
        <w:spacing w:after="240"/>
        <w:rPr>
          <w:rFonts w:ascii="Arial" w:eastAsia="MS Mincho" w:hAnsi="Arial" w:cs="Arial"/>
          <w:b/>
          <w:sz w:val="24"/>
          <w:szCs w:val="24"/>
          <w:lang w:val="de-DE"/>
        </w:rPr>
      </w:pPr>
      <w:bookmarkStart w:id="3" w:name="_Hlk204937331"/>
      <w:r w:rsidRPr="00E575A5">
        <w:rPr>
          <w:rFonts w:ascii="Arial" w:eastAsia="MS Mincho" w:hAnsi="Arial" w:cs="Arial"/>
          <w:b/>
          <w:sz w:val="24"/>
        </w:rPr>
        <w:t>Bengaluru, India, 25-29 August, 2025</w:t>
      </w:r>
      <w:bookmarkEnd w:id="3"/>
    </w:p>
    <w:p w14:paraId="048046C4" w14:textId="77777777" w:rsidR="007A6D02" w:rsidRPr="00EB1125" w:rsidRDefault="007A6D02" w:rsidP="007A6D02">
      <w:pPr>
        <w:pStyle w:val="a6"/>
        <w:spacing w:before="120"/>
        <w:rPr>
          <w:rFonts w:ascii="Times New Roman" w:hAnsi="Times New Roman" w:cs="Times New Roman"/>
          <w:bCs/>
          <w:noProof w:val="0"/>
          <w:sz w:val="24"/>
          <w:lang w:val="en-US" w:eastAsia="zh-CN"/>
        </w:rPr>
      </w:pPr>
    </w:p>
    <w:p w14:paraId="48277AAF" w14:textId="77777777" w:rsidR="007A6D02" w:rsidRPr="007A6D02" w:rsidRDefault="007A6D02" w:rsidP="007A6D02">
      <w:pPr>
        <w:tabs>
          <w:tab w:val="left" w:pos="1843"/>
        </w:tabs>
        <w:rPr>
          <w:rFonts w:ascii="Arial" w:eastAsia="Times New Roman" w:hAnsi="Arial" w:cs="Arial"/>
          <w:b/>
          <w:sz w:val="24"/>
          <w:lang w:val="en-US"/>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Pr>
          <w:rFonts w:ascii="Arial" w:eastAsia="Times New Roman" w:hAnsi="Arial" w:cs="Arial"/>
          <w:b/>
          <w:sz w:val="24"/>
          <w:lang w:val="en-US"/>
        </w:rPr>
        <w:t>8.17</w:t>
      </w:r>
    </w:p>
    <w:p w14:paraId="2D9A6F3B" w14:textId="77777777" w:rsidR="007A6D02" w:rsidRPr="008F603D"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18A9F43E" w14:textId="46C50C4F" w:rsidR="007A6D02" w:rsidRPr="000538F9"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936BEB" w:rsidRPr="00936BEB">
        <w:rPr>
          <w:rFonts w:ascii="Arial" w:eastAsia="Times New Roman" w:hAnsi="Arial" w:cs="Arial"/>
          <w:b/>
          <w:sz w:val="24"/>
          <w:lang w:val="en-US"/>
        </w:rPr>
        <w:t>Remaining issues of IoT-NTN TDD</w:t>
      </w:r>
    </w:p>
    <w:p w14:paraId="4B0B9EC7" w14:textId="77777777" w:rsidR="007A6D02" w:rsidRPr="008F603D" w:rsidRDefault="007A6D02" w:rsidP="007A6D02">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p w14:paraId="17D7113C" w14:textId="77777777" w:rsidR="007A6D02"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bookmarkStart w:id="6" w:name="_Ref124589705"/>
      <w:bookmarkStart w:id="7" w:name="_Ref129681862"/>
      <w:bookmarkEnd w:id="0"/>
      <w:bookmarkEnd w:id="1"/>
      <w:bookmarkEnd w:id="2"/>
      <w:r w:rsidRPr="00C02CCE">
        <w:rPr>
          <w:rFonts w:ascii="Arial" w:eastAsia="Times New Roman" w:hAnsi="Arial"/>
          <w:lang w:eastAsia="en-GB"/>
        </w:rPr>
        <w:t>Introduction</w:t>
      </w:r>
      <w:bookmarkEnd w:id="6"/>
      <w:bookmarkEnd w:id="7"/>
    </w:p>
    <w:p w14:paraId="30BCF594" w14:textId="77777777" w:rsidR="007A6D02" w:rsidRPr="00EF0C1E" w:rsidRDefault="007A6D02" w:rsidP="007A6D02">
      <w:pPr>
        <w:rPr>
          <w:rFonts w:eastAsiaTheme="minorEastAsia"/>
          <w:lang w:eastAsia="zh-CN"/>
        </w:rPr>
      </w:pPr>
      <w:r w:rsidRPr="002A3236">
        <w:rPr>
          <w:rFonts w:eastAsia="宋体"/>
          <w:bCs/>
          <w:iCs/>
          <w:lang w:eastAsia="zh-CN"/>
        </w:rPr>
        <w:t xml:space="preserve">In RAN#105, </w:t>
      </w:r>
      <w:r>
        <w:rPr>
          <w:lang w:eastAsia="zh-CN"/>
        </w:rPr>
        <w:t>a new work item</w:t>
      </w:r>
      <w:r w:rsidRPr="002A3236">
        <w:rPr>
          <w:rFonts w:eastAsia="宋体"/>
          <w:bCs/>
          <w:iCs/>
          <w:lang w:eastAsia="zh-CN"/>
        </w:rPr>
        <w:t xml:space="preserve"> </w:t>
      </w:r>
      <w:r w:rsidRPr="002A3236">
        <w:rPr>
          <w:rFonts w:hint="eastAsia"/>
          <w:lang w:eastAsia="zh-CN"/>
        </w:rPr>
        <w:t>was approved</w:t>
      </w:r>
      <w:r w:rsidRPr="002A3236">
        <w:rPr>
          <w:rFonts w:eastAsia="宋体" w:hint="eastAsia"/>
          <w:bCs/>
          <w:iCs/>
          <w:lang w:eastAsia="zh-CN"/>
        </w:rPr>
        <w:t xml:space="preserve"> to</w:t>
      </w:r>
      <w:r w:rsidRPr="002A3236">
        <w:rPr>
          <w:rFonts w:eastAsia="宋体"/>
          <w:bCs/>
          <w:iCs/>
          <w:lang w:eastAsia="zh-CN"/>
        </w:rPr>
        <w:t xml:space="preserve"> introduce NB-IoT TDD mode </w:t>
      </w:r>
      <w:r>
        <w:t>exclusively</w:t>
      </w:r>
      <w:r w:rsidRPr="002A3236" w:rsidDel="0049384D">
        <w:rPr>
          <w:rFonts w:eastAsia="宋体"/>
          <w:bCs/>
          <w:iCs/>
          <w:lang w:eastAsia="zh-CN"/>
        </w:rPr>
        <w:t xml:space="preserve"> </w:t>
      </w:r>
      <w:r w:rsidRPr="002A3236">
        <w:rPr>
          <w:rFonts w:eastAsia="宋体"/>
          <w:bCs/>
          <w:iCs/>
          <w:lang w:eastAsia="zh-CN"/>
        </w:rPr>
        <w:t xml:space="preserve">for 1616-1626.5 MHz </w:t>
      </w:r>
      <w:r>
        <w:rPr>
          <w:rFonts w:eastAsia="宋体"/>
          <w:bCs/>
          <w:iCs/>
          <w:lang w:eastAsia="zh-CN"/>
        </w:rPr>
        <w:t>M</w:t>
      </w:r>
      <w:r w:rsidRPr="003374BA">
        <w:rPr>
          <w:rFonts w:eastAsia="宋体"/>
          <w:bCs/>
          <w:iCs/>
          <w:lang w:eastAsia="zh-CN"/>
        </w:rPr>
        <w:t xml:space="preserve">obile </w:t>
      </w:r>
      <w:r>
        <w:rPr>
          <w:rFonts w:eastAsia="宋体"/>
          <w:bCs/>
          <w:iCs/>
          <w:lang w:eastAsia="zh-CN"/>
        </w:rPr>
        <w:t>S</w:t>
      </w:r>
      <w:r w:rsidRPr="003374BA">
        <w:rPr>
          <w:rFonts w:eastAsia="宋体"/>
          <w:bCs/>
          <w:iCs/>
          <w:lang w:eastAsia="zh-CN"/>
        </w:rPr>
        <w:t xml:space="preserve">atellite </w:t>
      </w:r>
      <w:r>
        <w:rPr>
          <w:rFonts w:eastAsia="宋体"/>
          <w:bCs/>
          <w:iCs/>
          <w:lang w:eastAsia="zh-CN"/>
        </w:rPr>
        <w:t>S</w:t>
      </w:r>
      <w:r w:rsidRPr="003374BA">
        <w:rPr>
          <w:rFonts w:eastAsia="宋体"/>
          <w:bCs/>
          <w:iCs/>
          <w:lang w:eastAsia="zh-CN"/>
        </w:rPr>
        <w:t xml:space="preserve">ervices </w:t>
      </w:r>
      <w:r w:rsidRPr="002A3236">
        <w:rPr>
          <w:rFonts w:eastAsia="宋体"/>
          <w:bCs/>
          <w:iCs/>
          <w:lang w:eastAsia="zh-CN"/>
        </w:rPr>
        <w:t>MSS band [1].</w:t>
      </w:r>
      <w:r>
        <w:rPr>
          <w:rFonts w:eastAsiaTheme="minorEastAsia"/>
          <w:lang w:eastAsia="zh-CN"/>
        </w:rPr>
        <w:t xml:space="preserve"> During the </w:t>
      </w:r>
      <w:r>
        <w:rPr>
          <w:lang w:eastAsia="en-GB"/>
        </w:rPr>
        <w:t>RAN1#119</w:t>
      </w:r>
      <w:r w:rsidRPr="00C958BE">
        <w:rPr>
          <w:lang w:eastAsia="en-GB"/>
        </w:rPr>
        <w:t xml:space="preserve"> </w:t>
      </w:r>
      <w:r>
        <w:rPr>
          <w:lang w:eastAsia="en-GB"/>
        </w:rPr>
        <w:t>meeting</w:t>
      </w:r>
      <w:r>
        <w:rPr>
          <w:rFonts w:hint="eastAsia"/>
          <w:lang w:eastAsia="zh-CN"/>
        </w:rPr>
        <w:t>,</w:t>
      </w:r>
      <w:r>
        <w:rPr>
          <w:lang w:eastAsia="zh-CN"/>
        </w:rPr>
        <w:t xml:space="preserve"> some agreements were made for </w:t>
      </w:r>
      <w:r w:rsidRPr="00A256DF">
        <w:rPr>
          <w:lang w:eastAsia="zh-CN"/>
        </w:rPr>
        <w:t xml:space="preserve">the TDD pattern and the corresponding </w:t>
      </w:r>
      <w:r w:rsidRPr="001015A4">
        <w:rPr>
          <w:lang w:val="en-US"/>
        </w:rPr>
        <w:t>frame structure</w:t>
      </w:r>
      <w:r w:rsidRPr="00A256DF">
        <w:rPr>
          <w:lang w:eastAsia="zh-CN"/>
        </w:rPr>
        <w:t xml:space="preserve"> [2]</w:t>
      </w:r>
      <w:r>
        <w:rPr>
          <w:lang w:eastAsia="zh-CN"/>
        </w:rPr>
        <w:t xml:space="preserve">, as listed below. </w:t>
      </w:r>
    </w:p>
    <w:tbl>
      <w:tblPr>
        <w:tblStyle w:val="af5"/>
        <w:tblW w:w="0" w:type="auto"/>
        <w:tblLook w:val="04A0" w:firstRow="1" w:lastRow="0" w:firstColumn="1" w:lastColumn="0" w:noHBand="0" w:noVBand="1"/>
      </w:tblPr>
      <w:tblGrid>
        <w:gridCol w:w="9307"/>
      </w:tblGrid>
      <w:tr w:rsidR="007A6D02" w14:paraId="4DF53007" w14:textId="77777777" w:rsidTr="009729DB">
        <w:tc>
          <w:tcPr>
            <w:tcW w:w="9307" w:type="dxa"/>
          </w:tcPr>
          <w:p w14:paraId="5C25ECE1" w14:textId="77777777" w:rsidR="007A6D02" w:rsidRPr="001015A4" w:rsidRDefault="007A6D02" w:rsidP="009729DB">
            <w:pPr>
              <w:rPr>
                <w:lang w:val="en-US"/>
              </w:rPr>
            </w:pPr>
            <w:r w:rsidRPr="0085125A">
              <w:rPr>
                <w:lang w:val="en-US"/>
              </w:rPr>
              <w:t>Agreement</w:t>
            </w:r>
            <w:r>
              <w:rPr>
                <w:rFonts w:ascii="宋体" w:eastAsia="宋体" w:hAnsi="宋体" w:cs="宋体" w:hint="eastAsia"/>
                <w:lang w:val="en-US" w:eastAsia="zh-CN"/>
              </w:rPr>
              <w:t>：</w:t>
            </w:r>
          </w:p>
          <w:p w14:paraId="35FD63D5" w14:textId="77777777" w:rsidR="007A6D02" w:rsidRPr="001015A4" w:rsidRDefault="007A6D02" w:rsidP="009729DB">
            <w:pPr>
              <w:rPr>
                <w:lang w:val="en-US"/>
              </w:rPr>
            </w:pPr>
            <w:r w:rsidRPr="001015A4">
              <w:rPr>
                <w:lang w:val="en-US"/>
              </w:rPr>
              <w:t>Regarding operation within the same band as the TDD frame structure of legacy system in the 1.6GHz MSS band (shown below), RAN1 work in Rel-19 considers the following design constraints:</w:t>
            </w:r>
          </w:p>
          <w:p w14:paraId="54EBB207"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pPr>
            <w:r w:rsidRPr="001015A4">
              <w:t>At the satellite, all downlink NB-IoT channels/signals in a cell can only use one of the downlink slots in the TDD frame structure (DL1, DL2, DL3 or DL4) across 90ms periods.</w:t>
            </w:r>
          </w:p>
          <w:p w14:paraId="7119939A" w14:textId="77777777" w:rsidR="007A6D02" w:rsidRPr="001015A4" w:rsidRDefault="007A6D02" w:rsidP="009729DB">
            <w:pPr>
              <w:pStyle w:val="afff2"/>
              <w:numPr>
                <w:ilvl w:val="1"/>
                <w:numId w:val="34"/>
              </w:numPr>
              <w:overflowPunct w:val="0"/>
              <w:autoSpaceDE w:val="0"/>
              <w:autoSpaceDN w:val="0"/>
              <w:adjustRightInd w:val="0"/>
              <w:spacing w:after="0"/>
              <w:ind w:firstLineChars="0"/>
              <w:contextualSpacing/>
              <w:textAlignment w:val="baseline"/>
            </w:pPr>
            <w:r w:rsidRPr="001015A4">
              <w:t>The same downlink slot is used in all the 90ms periods.</w:t>
            </w:r>
          </w:p>
          <w:p w14:paraId="7D406BB5"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At the satellite, all uplink NB-IoT channels in a cell can only use one of the uplink slots in the TDD frame structure (UL1, UL2, UL3 or UL4) across 90ms periods</w:t>
            </w:r>
            <w:r w:rsidRPr="001015A4">
              <w:rPr>
                <w:lang w:val="en-US"/>
              </w:rPr>
              <w:t>.</w:t>
            </w:r>
          </w:p>
          <w:p w14:paraId="2B710D32" w14:textId="77777777" w:rsidR="007A6D02" w:rsidRPr="001015A4" w:rsidRDefault="007A6D02" w:rsidP="009729DB">
            <w:pPr>
              <w:pStyle w:val="afff2"/>
              <w:numPr>
                <w:ilvl w:val="1"/>
                <w:numId w:val="34"/>
              </w:numPr>
              <w:overflowPunct w:val="0"/>
              <w:autoSpaceDE w:val="0"/>
              <w:autoSpaceDN w:val="0"/>
              <w:adjustRightInd w:val="0"/>
              <w:spacing w:after="0"/>
              <w:ind w:firstLineChars="0"/>
              <w:contextualSpacing/>
              <w:textAlignment w:val="baseline"/>
            </w:pPr>
            <w:r w:rsidRPr="001015A4">
              <w:t>The same uplink slot is used in all the 90ms periods.</w:t>
            </w:r>
          </w:p>
          <w:p w14:paraId="2B13F62E"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rPr>
                <w:lang w:val="en-US"/>
              </w:rPr>
              <w:t>The one uplink slot and one downlink slot in the TDD frame structure have the same index (DL1 &amp; UL1, DL2 &amp; UL2, DL3 &amp; UL3, or DL4 &amp; UL4).</w:t>
            </w:r>
          </w:p>
          <w:p w14:paraId="37D81356" w14:textId="77777777" w:rsidR="007A6D02" w:rsidRPr="001015A4" w:rsidRDefault="007A6D02" w:rsidP="009729DB">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NOTE: this does not imply that the only configuration(s) to be specified are according to these constraints.</w:t>
            </w:r>
          </w:p>
          <w:p w14:paraId="776A8ECC" w14:textId="77777777" w:rsidR="007A6D02" w:rsidRPr="000C0E7F" w:rsidRDefault="007A6D02" w:rsidP="009729DB">
            <w:pPr>
              <w:jc w:val="center"/>
              <w:rPr>
                <w:lang w:val="en-US"/>
              </w:rPr>
            </w:pPr>
            <w:r w:rsidRPr="001015A4">
              <w:rPr>
                <w:noProof/>
                <w:lang w:val="en-US" w:eastAsia="zh-CN"/>
              </w:rPr>
              <w:drawing>
                <wp:inline distT="0" distB="0" distL="0" distR="0" wp14:anchorId="1D388957" wp14:editId="1CF98741">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52406990" w14:textId="77777777" w:rsidR="007A6D02" w:rsidRDefault="007A6D02" w:rsidP="007A6D02">
      <w:pPr>
        <w:spacing w:before="120"/>
        <w:jc w:val="both"/>
        <w:rPr>
          <w:lang w:eastAsia="zh-CN"/>
        </w:rPr>
      </w:pPr>
      <w:r>
        <w:rPr>
          <w:lang w:eastAsia="zh-CN"/>
        </w:rPr>
        <w:t xml:space="preserve">The </w:t>
      </w:r>
      <w:r w:rsidRPr="0012172F">
        <w:rPr>
          <w:lang w:eastAsia="zh-CN"/>
        </w:rPr>
        <w:t xml:space="preserve">WID </w:t>
      </w:r>
      <w:r>
        <w:rPr>
          <w:lang w:eastAsia="zh-CN"/>
        </w:rPr>
        <w:t xml:space="preserve">was revised </w:t>
      </w:r>
      <w:r w:rsidRPr="0012172F">
        <w:rPr>
          <w:lang w:eastAsia="zh-CN"/>
        </w:rPr>
        <w:t xml:space="preserve">in </w:t>
      </w:r>
      <w:r>
        <w:rPr>
          <w:lang w:eastAsia="zh-CN"/>
        </w:rPr>
        <w:t>RAN#106 [3] to r</w:t>
      </w:r>
      <w:r w:rsidRPr="0012172F">
        <w:rPr>
          <w:lang w:eastAsia="zh-CN"/>
        </w:rPr>
        <w:t>eflec</w:t>
      </w:r>
      <w:r>
        <w:rPr>
          <w:lang w:eastAsia="zh-CN"/>
        </w:rPr>
        <w:t>t</w:t>
      </w:r>
      <w:r w:rsidRPr="0012172F">
        <w:rPr>
          <w:lang w:eastAsia="zh-CN"/>
        </w:rPr>
        <w:t xml:space="preserve"> RAN1 </w:t>
      </w:r>
      <w:r>
        <w:rPr>
          <w:lang w:eastAsia="zh-CN"/>
        </w:rPr>
        <w:t>progress</w:t>
      </w:r>
      <w:r w:rsidRPr="0012172F">
        <w:rPr>
          <w:lang w:eastAsia="zh-CN"/>
        </w:rPr>
        <w:t xml:space="preserve"> </w:t>
      </w:r>
      <w:r>
        <w:rPr>
          <w:lang w:eastAsia="zh-CN"/>
        </w:rPr>
        <w:t xml:space="preserve">and narrow down </w:t>
      </w:r>
      <w:r w:rsidRPr="0012172F">
        <w:rPr>
          <w:lang w:eastAsia="zh-CN"/>
        </w:rPr>
        <w:t>the scope of the solutions</w:t>
      </w:r>
      <w:r>
        <w:rPr>
          <w:lang w:eastAsia="zh-CN"/>
        </w:rPr>
        <w:t>.</w:t>
      </w:r>
    </w:p>
    <w:p w14:paraId="0C1E9E2B" w14:textId="6F61E519" w:rsidR="007A6D02" w:rsidRDefault="007A6D02" w:rsidP="007A6D02">
      <w:pPr>
        <w:rPr>
          <w:rFonts w:eastAsiaTheme="minorEastAsia"/>
          <w:lang w:eastAsia="zh-CN"/>
        </w:rPr>
      </w:pPr>
      <w:r>
        <w:rPr>
          <w:lang w:eastAsia="zh-CN"/>
        </w:rPr>
        <w:t>In RAN2#1</w:t>
      </w:r>
      <w:r w:rsidR="00037DB4">
        <w:rPr>
          <w:lang w:eastAsia="zh-CN"/>
        </w:rPr>
        <w:t>30</w:t>
      </w:r>
      <w:r>
        <w:rPr>
          <w:lang w:eastAsia="zh-CN"/>
        </w:rPr>
        <w:t xml:space="preserve"> meeting [4]</w:t>
      </w:r>
      <w:r>
        <w:rPr>
          <w:rFonts w:ascii="宋体" w:eastAsia="宋体" w:hAnsi="宋体" w:cs="宋体"/>
          <w:lang w:eastAsia="zh-CN"/>
        </w:rPr>
        <w:t>,</w:t>
      </w:r>
      <w:r>
        <w:rPr>
          <w:lang w:eastAsia="zh-CN"/>
        </w:rPr>
        <w:t xml:space="preserve"> the following agreements were reached for RAN2 </w:t>
      </w:r>
      <w:r w:rsidRPr="00EF0C1E">
        <w:rPr>
          <w:lang w:eastAsia="zh-CN"/>
        </w:rPr>
        <w:t xml:space="preserve">impacts of </w:t>
      </w:r>
      <w:r>
        <w:t>this new WID.</w:t>
      </w:r>
    </w:p>
    <w:tbl>
      <w:tblPr>
        <w:tblStyle w:val="af5"/>
        <w:tblW w:w="0" w:type="auto"/>
        <w:tblLook w:val="04A0" w:firstRow="1" w:lastRow="0" w:firstColumn="1" w:lastColumn="0" w:noHBand="0" w:noVBand="1"/>
      </w:tblPr>
      <w:tblGrid>
        <w:gridCol w:w="9307"/>
      </w:tblGrid>
      <w:tr w:rsidR="007A6D02" w14:paraId="43D06F58" w14:textId="77777777" w:rsidTr="009729DB">
        <w:tc>
          <w:tcPr>
            <w:tcW w:w="9307" w:type="dxa"/>
          </w:tcPr>
          <w:p w14:paraId="759C84FF" w14:textId="77777777" w:rsidR="009829B3" w:rsidRPr="009829B3" w:rsidRDefault="009829B3" w:rsidP="009829B3">
            <w:pPr>
              <w:rPr>
                <w:b/>
                <w:lang w:eastAsia="zh-CN"/>
              </w:rPr>
            </w:pPr>
            <w:r w:rsidRPr="009829B3">
              <w:rPr>
                <w:b/>
                <w:lang w:eastAsia="zh-CN"/>
              </w:rPr>
              <w:t>Agreements:</w:t>
            </w:r>
          </w:p>
          <w:p w14:paraId="10A73076" w14:textId="77777777" w:rsidR="009829B3" w:rsidRPr="009829B3" w:rsidRDefault="009829B3" w:rsidP="009829B3">
            <w:pPr>
              <w:rPr>
                <w:lang w:eastAsia="zh-CN"/>
              </w:rPr>
            </w:pPr>
            <w:r w:rsidRPr="009829B3">
              <w:rPr>
                <w:lang w:eastAsia="zh-CN"/>
              </w:rPr>
              <w:t>1.</w:t>
            </w:r>
            <w:r w:rsidRPr="009829B3">
              <w:rPr>
                <w:lang w:eastAsia="zh-CN"/>
              </w:rPr>
              <w:tab/>
              <w:t>The SI-message transmission can be postponed to the next valid D frame within the SI-Window</w:t>
            </w:r>
          </w:p>
          <w:p w14:paraId="78FAE239" w14:textId="77777777" w:rsidR="009829B3" w:rsidRPr="009829B3" w:rsidRDefault="009829B3" w:rsidP="009829B3">
            <w:pPr>
              <w:rPr>
                <w:lang w:eastAsia="zh-CN"/>
              </w:rPr>
            </w:pPr>
            <w:r w:rsidRPr="009829B3">
              <w:rPr>
                <w:lang w:eastAsia="zh-CN"/>
              </w:rPr>
              <w:t>2.</w:t>
            </w:r>
            <w:r w:rsidRPr="009829B3">
              <w:rPr>
                <w:lang w:eastAsia="zh-CN"/>
              </w:rPr>
              <w:tab/>
              <w:t>It is up to NW implementation to avoid SI-window overlap</w:t>
            </w:r>
          </w:p>
          <w:p w14:paraId="4BC5B039" w14:textId="77777777" w:rsidR="009829B3" w:rsidRPr="009829B3" w:rsidRDefault="009829B3" w:rsidP="009829B3">
            <w:pPr>
              <w:rPr>
                <w:lang w:eastAsia="zh-CN"/>
              </w:rPr>
            </w:pPr>
            <w:r w:rsidRPr="009829B3">
              <w:rPr>
                <w:lang w:eastAsia="zh-CN"/>
              </w:rPr>
              <w:t>3.</w:t>
            </w:r>
            <w:r w:rsidRPr="009829B3">
              <w:rPr>
                <w:lang w:eastAsia="zh-CN"/>
              </w:rPr>
              <w:tab/>
              <w:t>SI repetitions will not overlap (in case of collision the subsequent SI repetition is postponed)</w:t>
            </w:r>
          </w:p>
          <w:p w14:paraId="7A065CEF" w14:textId="77777777" w:rsidR="009829B3" w:rsidRPr="009829B3" w:rsidRDefault="009829B3" w:rsidP="009829B3">
            <w:pPr>
              <w:rPr>
                <w:lang w:eastAsia="zh-CN"/>
              </w:rPr>
            </w:pPr>
            <w:r w:rsidRPr="009829B3">
              <w:rPr>
                <w:lang w:eastAsia="zh-CN"/>
              </w:rPr>
              <w:t>4.</w:t>
            </w:r>
            <w:r w:rsidRPr="009829B3">
              <w:rPr>
                <w:lang w:eastAsia="zh-CN"/>
              </w:rPr>
              <w:tab/>
              <w:t>In IoT-NTN TDD mode, the RA-RNTI should be calculated based on the SFN of the first radio frame in which the Random-Access Preamble is transmitted (i.e. no spec change)</w:t>
            </w:r>
          </w:p>
          <w:p w14:paraId="6128420C" w14:textId="77777777" w:rsidR="009829B3" w:rsidRPr="009829B3" w:rsidRDefault="009829B3" w:rsidP="009829B3">
            <w:pPr>
              <w:rPr>
                <w:lang w:eastAsia="zh-CN"/>
              </w:rPr>
            </w:pPr>
            <w:r w:rsidRPr="009829B3">
              <w:rPr>
                <w:lang w:eastAsia="zh-CN"/>
              </w:rPr>
              <w:t>5.</w:t>
            </w:r>
            <w:r w:rsidRPr="009829B3">
              <w:rPr>
                <w:lang w:eastAsia="zh-CN"/>
              </w:rPr>
              <w:tab/>
              <w:t xml:space="preserve">For the timer of </w:t>
            </w:r>
            <w:proofErr w:type="spellStart"/>
            <w:r w:rsidRPr="009829B3">
              <w:rPr>
                <w:lang w:eastAsia="zh-CN"/>
              </w:rPr>
              <w:t>ra-ResponseWindowSize</w:t>
            </w:r>
            <w:proofErr w:type="spellEnd"/>
            <w:r w:rsidRPr="009829B3">
              <w:rPr>
                <w:lang w:eastAsia="zh-CN"/>
              </w:rPr>
              <w:t xml:space="preserve"> and mac-</w:t>
            </w:r>
            <w:proofErr w:type="spellStart"/>
            <w:r w:rsidRPr="009829B3">
              <w:rPr>
                <w:lang w:eastAsia="zh-CN"/>
              </w:rPr>
              <w:t>ContentionResolutionTimer</w:t>
            </w:r>
            <w:proofErr w:type="spellEnd"/>
            <w:r w:rsidRPr="009829B3">
              <w:rPr>
                <w:lang w:eastAsia="zh-CN"/>
              </w:rPr>
              <w:t>, the absolute value limitation for FDD (i.e., 10.24s) is used for IoT NTN TDD.</w:t>
            </w:r>
          </w:p>
          <w:p w14:paraId="607A9EB3" w14:textId="77777777" w:rsidR="009829B3" w:rsidRPr="009829B3" w:rsidRDefault="009829B3" w:rsidP="009829B3">
            <w:pPr>
              <w:rPr>
                <w:lang w:eastAsia="zh-CN"/>
              </w:rPr>
            </w:pPr>
            <w:r w:rsidRPr="009829B3">
              <w:rPr>
                <w:lang w:eastAsia="zh-CN"/>
              </w:rPr>
              <w:t>6.</w:t>
            </w:r>
            <w:r w:rsidRPr="009829B3">
              <w:rPr>
                <w:lang w:eastAsia="zh-CN"/>
              </w:rPr>
              <w:tab/>
              <w:t>In IoT-NTN TDD mode the same formula as for RA-RNTI calculation for FDD is reused</w:t>
            </w:r>
          </w:p>
          <w:p w14:paraId="5B2718C9" w14:textId="77777777" w:rsidR="009829B3" w:rsidRPr="009829B3" w:rsidRDefault="009829B3" w:rsidP="009829B3">
            <w:pPr>
              <w:rPr>
                <w:lang w:eastAsia="zh-CN"/>
              </w:rPr>
            </w:pPr>
            <w:r w:rsidRPr="009829B3">
              <w:rPr>
                <w:lang w:eastAsia="zh-CN"/>
              </w:rPr>
              <w:t>7.</w:t>
            </w:r>
            <w:r w:rsidRPr="009829B3">
              <w:rPr>
                <w:lang w:eastAsia="zh-CN"/>
              </w:rPr>
              <w:tab/>
              <w:t xml:space="preserve">No extension is needed on the value range of timer in unit of </w:t>
            </w:r>
            <w:proofErr w:type="spellStart"/>
            <w:r w:rsidRPr="009829B3">
              <w:rPr>
                <w:lang w:eastAsia="zh-CN"/>
              </w:rPr>
              <w:t>ms</w:t>
            </w:r>
            <w:proofErr w:type="spellEnd"/>
            <w:r w:rsidRPr="009829B3">
              <w:rPr>
                <w:lang w:eastAsia="zh-CN"/>
              </w:rPr>
              <w:t xml:space="preserve"> or s for IoT NTN TDD</w:t>
            </w:r>
          </w:p>
          <w:p w14:paraId="05EEB61B" w14:textId="77777777" w:rsidR="009829B3" w:rsidRPr="009829B3" w:rsidRDefault="009829B3" w:rsidP="009829B3">
            <w:pPr>
              <w:rPr>
                <w:lang w:eastAsia="zh-CN"/>
              </w:rPr>
            </w:pPr>
            <w:r w:rsidRPr="009829B3">
              <w:rPr>
                <w:lang w:eastAsia="zh-CN"/>
              </w:rPr>
              <w:t>8.</w:t>
            </w:r>
            <w:r w:rsidRPr="009829B3">
              <w:rPr>
                <w:lang w:eastAsia="zh-CN"/>
              </w:rPr>
              <w:tab/>
              <w:t>The remaining paging repetitions falling on the invalid DL SFNs are postponed to the next valid DL SFNs.</w:t>
            </w:r>
          </w:p>
          <w:p w14:paraId="31CCF08B" w14:textId="77777777" w:rsidR="009829B3" w:rsidRPr="009829B3" w:rsidRDefault="009829B3" w:rsidP="009829B3">
            <w:pPr>
              <w:rPr>
                <w:lang w:eastAsia="zh-CN"/>
              </w:rPr>
            </w:pPr>
            <w:r w:rsidRPr="009829B3">
              <w:rPr>
                <w:lang w:eastAsia="zh-CN"/>
              </w:rPr>
              <w:t>9.</w:t>
            </w:r>
            <w:r w:rsidRPr="009829B3">
              <w:rPr>
                <w:lang w:eastAsia="zh-CN"/>
              </w:rPr>
              <w:tab/>
              <w:t>It is up to network to configure the gap between two POs (i.e., parameter NB) to be sufficiently long such that it includes enough number of valid DL subframes for NumRepetitionPaging-r13 (no spec impact)</w:t>
            </w:r>
          </w:p>
          <w:p w14:paraId="1E34C9F5" w14:textId="77777777" w:rsidR="009829B3" w:rsidRPr="009829B3" w:rsidRDefault="009829B3" w:rsidP="009829B3">
            <w:pPr>
              <w:rPr>
                <w:lang w:eastAsia="zh-CN"/>
              </w:rPr>
            </w:pPr>
            <w:r w:rsidRPr="009829B3">
              <w:rPr>
                <w:lang w:eastAsia="zh-CN"/>
              </w:rPr>
              <w:lastRenderedPageBreak/>
              <w:t>10.</w:t>
            </w:r>
            <w:r w:rsidRPr="009829B3">
              <w:rPr>
                <w:lang w:eastAsia="zh-CN"/>
              </w:rPr>
              <w:tab/>
              <w:t>Introduce the following definition for IoT-NTN TDD mode in the impacted RAN2 specifications:</w:t>
            </w:r>
          </w:p>
          <w:p w14:paraId="6A347E17" w14:textId="77777777" w:rsidR="009829B3" w:rsidRPr="009829B3" w:rsidRDefault="009829B3" w:rsidP="009829B3">
            <w:pPr>
              <w:rPr>
                <w:lang w:eastAsia="zh-CN"/>
              </w:rPr>
            </w:pPr>
            <w:r w:rsidRPr="009829B3">
              <w:rPr>
                <w:lang w:eastAsia="zh-CN"/>
              </w:rPr>
              <w:t>IoT-NTN TDD mode: allows use of NB-IoT channels with TDD mode for NTN with fixed values of D non-overlapping usable contiguous DL subframes and set of U usable contiguous UL subframes separated by fixed guard period (can revisit this based on the TP being prepared by RAN1)</w:t>
            </w:r>
          </w:p>
          <w:p w14:paraId="7AD61A22" w14:textId="77777777" w:rsidR="009829B3" w:rsidRPr="009829B3" w:rsidRDefault="009829B3" w:rsidP="009829B3">
            <w:pPr>
              <w:rPr>
                <w:lang w:eastAsia="zh-CN"/>
              </w:rPr>
            </w:pPr>
            <w:r w:rsidRPr="009829B3">
              <w:rPr>
                <w:lang w:eastAsia="zh-CN"/>
              </w:rPr>
              <w:t>11.</w:t>
            </w:r>
            <w:r w:rsidRPr="009829B3">
              <w:rPr>
                <w:lang w:eastAsia="zh-CN"/>
              </w:rPr>
              <w:tab/>
              <w:t xml:space="preserve">In Rel19, RAN2 will not work on any specific enhancements to ensure that the features being specified in IoT_NTN_Ph3-Core will also work for IoT NTN TDD mode </w:t>
            </w:r>
          </w:p>
          <w:p w14:paraId="3EEDCCA3" w14:textId="02B58C22" w:rsidR="007A6D02" w:rsidRPr="009829B3" w:rsidRDefault="009829B3" w:rsidP="009829B3">
            <w:r w:rsidRPr="009829B3">
              <w:rPr>
                <w:lang w:eastAsia="zh-CN"/>
              </w:rPr>
              <w:t xml:space="preserve">12. In IoT_NTN_Ph3-Core, RAN2 will not work on any specific enhancements to ensure that the features being specified in IoT_NTN_Ph3-Core will also work for IoT NTN TDD mode. RAN2 understands that, as part of the </w:t>
            </w:r>
            <w:proofErr w:type="spellStart"/>
            <w:r w:rsidRPr="009829B3">
              <w:rPr>
                <w:lang w:eastAsia="zh-CN"/>
              </w:rPr>
              <w:t>IoT_NTN_TDD</w:t>
            </w:r>
            <w:proofErr w:type="spellEnd"/>
            <w:r w:rsidRPr="009829B3">
              <w:rPr>
                <w:lang w:eastAsia="zh-CN"/>
              </w:rPr>
              <w:t xml:space="preserve"> WI, we can discuss on a case by case basis whether minor specific enhancements – not affecting other WGs - can be supported to ensure that (some of) the features being specified in IoT_NTN_Ph3-Core will also work for IoT NTN TDD mode</w:t>
            </w:r>
          </w:p>
        </w:tc>
      </w:tr>
    </w:tbl>
    <w:p w14:paraId="2E4C4C8D" w14:textId="27AC09C8" w:rsidR="007A6D02" w:rsidRPr="00E5030B" w:rsidRDefault="007A6D02" w:rsidP="007A6D02">
      <w:pPr>
        <w:spacing w:before="240"/>
        <w:jc w:val="both"/>
      </w:pPr>
      <w:r>
        <w:rPr>
          <w:lang w:eastAsia="zh-CN"/>
        </w:rPr>
        <w:lastRenderedPageBreak/>
        <w:t>In this paper</w:t>
      </w:r>
      <w:r>
        <w:rPr>
          <w:lang w:eastAsia="en-GB"/>
        </w:rPr>
        <w:t xml:space="preserve">, </w:t>
      </w:r>
      <w:r>
        <w:rPr>
          <w:lang w:eastAsia="zh-CN"/>
        </w:rPr>
        <w:t xml:space="preserve">we </w:t>
      </w:r>
      <w:r w:rsidR="00B45D67" w:rsidRPr="00B45D67">
        <w:rPr>
          <w:lang w:eastAsia="zh-CN"/>
        </w:rPr>
        <w:t xml:space="preserve">further </w:t>
      </w:r>
      <w:r>
        <w:rPr>
          <w:lang w:eastAsia="zh-CN"/>
        </w:rPr>
        <w:t>discuss t</w:t>
      </w:r>
      <w:r w:rsidRPr="00EF0C1E">
        <w:rPr>
          <w:lang w:eastAsia="zh-CN"/>
        </w:rPr>
        <w:t xml:space="preserve">he </w:t>
      </w:r>
      <w:r w:rsidR="00936BEB">
        <w:rPr>
          <w:lang w:eastAsia="zh-CN"/>
        </w:rPr>
        <w:t>remaining issue of IoT NTN TDD</w:t>
      </w:r>
      <w:r>
        <w:t>.</w:t>
      </w:r>
    </w:p>
    <w:p w14:paraId="40217EEF" w14:textId="77777777" w:rsidR="007A6D02" w:rsidRPr="0060399A"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lang w:eastAsia="en-GB"/>
        </w:rPr>
      </w:pPr>
      <w:r w:rsidRPr="00C02CCE">
        <w:rPr>
          <w:rFonts w:ascii="Arial" w:eastAsia="Times New Roman" w:hAnsi="Arial"/>
          <w:lang w:eastAsia="en-GB"/>
        </w:rPr>
        <w:t xml:space="preserve">Discussion </w:t>
      </w:r>
    </w:p>
    <w:p w14:paraId="0088CB05" w14:textId="14D22AC2" w:rsidR="007A6D02" w:rsidRDefault="007A6D02" w:rsidP="007A6D02">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bookmarkStart w:id="8" w:name="_Hlk188775262"/>
      <w:r w:rsidRPr="00D8495A">
        <w:rPr>
          <w:rFonts w:ascii="Arial" w:eastAsia="Times New Roman" w:hAnsi="Arial" w:cs="Times New Roman"/>
          <w:bCs/>
          <w:lang w:val="en-US" w:eastAsia="en-GB"/>
        </w:rPr>
        <w:t xml:space="preserve">Impact on </w:t>
      </w:r>
      <w:r w:rsidR="00B91433" w:rsidRPr="00B91433">
        <w:rPr>
          <w:rFonts w:ascii="Arial" w:eastAsia="Times New Roman" w:hAnsi="Arial" w:cs="Times New Roman"/>
          <w:bCs/>
          <w:lang w:val="en-US" w:eastAsia="en-GB"/>
        </w:rPr>
        <w:t>Measurement</w:t>
      </w:r>
    </w:p>
    <w:p w14:paraId="794E22EA" w14:textId="325A91B7" w:rsidR="00C72405" w:rsidRDefault="00C72405" w:rsidP="00C72405">
      <w:pPr>
        <w:spacing w:afterLines="50"/>
        <w:jc w:val="both"/>
      </w:pPr>
      <w:r w:rsidRPr="00E91CD7">
        <w:t xml:space="preserve">For </w:t>
      </w:r>
      <w:r w:rsidR="00326212">
        <w:t xml:space="preserve">NB-IoT, </w:t>
      </w:r>
      <w:r w:rsidRPr="00E91CD7">
        <w:t>inter-frequency measurements</w:t>
      </w:r>
      <w:r>
        <w:t xml:space="preserve"> </w:t>
      </w:r>
      <w:r w:rsidR="00326212">
        <w:t xml:space="preserve">on </w:t>
      </w:r>
      <w:r w:rsidR="00326212" w:rsidRPr="00E91CD7">
        <w:t>neighbour</w:t>
      </w:r>
      <w:r w:rsidR="00326212">
        <w:t xml:space="preserve"> can be performed </w:t>
      </w:r>
      <w:r>
        <w:t xml:space="preserve">in </w:t>
      </w:r>
      <w:r w:rsidRPr="00C72405">
        <w:rPr>
          <w:rFonts w:eastAsiaTheme="minorEastAsia"/>
          <w:lang w:val="en-US" w:eastAsia="zh-CN"/>
        </w:rPr>
        <w:t>RRC_CONNECTED</w:t>
      </w:r>
      <w:r>
        <w:t xml:space="preserve"> to reduce </w:t>
      </w:r>
      <w:r w:rsidRPr="00830733">
        <w:t>RRC re-establishment time</w:t>
      </w:r>
      <w:r w:rsidR="00326212">
        <w:t>, as specified in</w:t>
      </w:r>
      <w:r w:rsidRPr="00830733">
        <w:t xml:space="preserve"> TS 36.30</w:t>
      </w:r>
      <w:r>
        <w:t>0.</w:t>
      </w:r>
      <w:r w:rsidRPr="00C72405">
        <w:rPr>
          <w:rFonts w:eastAsiaTheme="minorEastAsia"/>
          <w:lang w:val="en-US" w:eastAsia="zh-CN"/>
        </w:rPr>
        <w:t xml:space="preserve"> </w:t>
      </w:r>
      <w:r w:rsidR="00326212">
        <w:rPr>
          <w:rFonts w:eastAsiaTheme="minorEastAsia"/>
          <w:lang w:val="en-US" w:eastAsia="zh-CN"/>
        </w:rPr>
        <w:t>This should also be allowed i</w:t>
      </w:r>
      <w:r w:rsidRPr="00C72405">
        <w:rPr>
          <w:rFonts w:eastAsiaTheme="minorEastAsia"/>
          <w:lang w:val="en-US" w:eastAsia="zh-CN"/>
        </w:rPr>
        <w:t xml:space="preserve">n </w:t>
      </w:r>
      <w:r w:rsidR="00326212">
        <w:rPr>
          <w:rFonts w:eastAsiaTheme="minorEastAsia"/>
          <w:lang w:val="en-US" w:eastAsia="zh-CN"/>
        </w:rPr>
        <w:t xml:space="preserve">an </w:t>
      </w:r>
      <w:r w:rsidRPr="00830733">
        <w:t>IoT NTN TDD cell</w:t>
      </w:r>
      <w:r>
        <w:t xml:space="preserve">. </w:t>
      </w:r>
      <w:r w:rsidRPr="00C72405">
        <w:rPr>
          <w:rFonts w:eastAsiaTheme="minorEastAsia"/>
          <w:lang w:val="en-US" w:eastAsia="zh-CN"/>
        </w:rPr>
        <w:t xml:space="preserve"> </w:t>
      </w:r>
    </w:p>
    <w:tbl>
      <w:tblPr>
        <w:tblStyle w:val="af5"/>
        <w:tblW w:w="0" w:type="auto"/>
        <w:tblLook w:val="04A0" w:firstRow="1" w:lastRow="0" w:firstColumn="1" w:lastColumn="0" w:noHBand="0" w:noVBand="1"/>
      </w:tblPr>
      <w:tblGrid>
        <w:gridCol w:w="9307"/>
      </w:tblGrid>
      <w:tr w:rsidR="00C72405" w14:paraId="2B0272FD" w14:textId="77777777" w:rsidTr="00330AA8">
        <w:tc>
          <w:tcPr>
            <w:tcW w:w="9307" w:type="dxa"/>
          </w:tcPr>
          <w:p w14:paraId="459E7420" w14:textId="77777777" w:rsidR="00C72405" w:rsidRPr="009829B3" w:rsidRDefault="00C72405" w:rsidP="00330AA8">
            <w:pPr>
              <w:ind w:right="200"/>
              <w:rPr>
                <w:b/>
                <w:lang w:eastAsia="zh-CN"/>
              </w:rPr>
            </w:pPr>
            <w:r>
              <w:rPr>
                <w:b/>
                <w:lang w:eastAsia="zh-CN"/>
              </w:rPr>
              <w:t>TS 36.300</w:t>
            </w:r>
            <w:r w:rsidRPr="009829B3">
              <w:rPr>
                <w:b/>
                <w:lang w:eastAsia="zh-CN"/>
              </w:rPr>
              <w:t>:</w:t>
            </w:r>
          </w:p>
          <w:p w14:paraId="6AD9D90C" w14:textId="77777777" w:rsidR="00C72405" w:rsidRPr="00E02A10" w:rsidRDefault="00C72405" w:rsidP="00330AA8">
            <w:pPr>
              <w:overflowPunct w:val="0"/>
              <w:autoSpaceDE w:val="0"/>
              <w:autoSpaceDN w:val="0"/>
              <w:adjustRightInd w:val="0"/>
              <w:spacing w:after="180"/>
              <w:ind w:right="200"/>
              <w:textAlignment w:val="baseline"/>
              <w:rPr>
                <w:rFonts w:eastAsia="Times New Roman" w:cs="Times New Roman"/>
                <w:lang w:eastAsia="ja-JP"/>
              </w:rPr>
            </w:pPr>
            <w:r w:rsidRPr="00E02A10">
              <w:rPr>
                <w:rFonts w:eastAsia="Times New Roman" w:cs="Times New Roman"/>
                <w:highlight w:val="yellow"/>
                <w:lang w:eastAsia="ja-JP"/>
              </w:rPr>
              <w:t xml:space="preserve">For NB-IoT, measurements in RRC_CONNECTED are optionally supported </w:t>
            </w:r>
            <w:r w:rsidRPr="00E02A10">
              <w:rPr>
                <w:rFonts w:eastAsia="等线" w:cs="Times New Roman"/>
                <w:highlight w:val="yellow"/>
                <w:lang w:eastAsia="zh-CN"/>
              </w:rPr>
              <w:t>to reduce the time taken for RRC reestablishment</w:t>
            </w:r>
            <w:r w:rsidRPr="00E02A10">
              <w:rPr>
                <w:rFonts w:eastAsia="等线" w:cs="Times New Roman"/>
                <w:lang w:eastAsia="zh-CN"/>
              </w:rPr>
              <w:t>. The following principles are applied</w:t>
            </w:r>
            <w:r w:rsidRPr="00E02A10">
              <w:rPr>
                <w:rFonts w:eastAsia="Times New Roman" w:cs="Times New Roman"/>
                <w:lang w:eastAsia="ja-JP"/>
              </w:rPr>
              <w:t>:</w:t>
            </w:r>
          </w:p>
          <w:p w14:paraId="42689101" w14:textId="77777777" w:rsidR="00C72405" w:rsidRPr="00E02A10" w:rsidRDefault="00C72405" w:rsidP="00330AA8">
            <w:pPr>
              <w:overflowPunct w:val="0"/>
              <w:autoSpaceDE w:val="0"/>
              <w:autoSpaceDN w:val="0"/>
              <w:adjustRightInd w:val="0"/>
              <w:spacing w:after="180"/>
              <w:ind w:left="568" w:right="200" w:hanging="284"/>
              <w:textAlignment w:val="baseline"/>
              <w:rPr>
                <w:rFonts w:eastAsia="Times New Roman" w:cs="Times New Roman"/>
                <w:lang w:eastAsia="ja-JP"/>
              </w:rPr>
            </w:pPr>
            <w:r w:rsidRPr="00E02A10">
              <w:rPr>
                <w:rFonts w:eastAsia="Times New Roman" w:cs="Times New Roman"/>
                <w:lang w:eastAsia="ja-JP"/>
              </w:rPr>
              <w:t>-</w:t>
            </w:r>
            <w:r w:rsidRPr="00E02A10">
              <w:rPr>
                <w:rFonts w:eastAsia="Times New Roman" w:cs="Times New Roman"/>
                <w:lang w:eastAsia="ja-JP"/>
              </w:rPr>
              <w:tab/>
              <w:t>The "current cell" above refers to the configured carrier in the serving cell. The "target cell" above refers to the anchor carrier in the target cell. For instance, for the definition of intra and inter frequency measurements, this means:</w:t>
            </w:r>
          </w:p>
          <w:p w14:paraId="408F9FB7" w14:textId="77777777" w:rsidR="00C72405" w:rsidRPr="00E02A10" w:rsidRDefault="00C72405" w:rsidP="00330AA8">
            <w:pPr>
              <w:overflowPunct w:val="0"/>
              <w:autoSpaceDE w:val="0"/>
              <w:autoSpaceDN w:val="0"/>
              <w:adjustRightInd w:val="0"/>
              <w:spacing w:after="180"/>
              <w:ind w:left="851" w:right="200" w:hanging="284"/>
              <w:textAlignment w:val="baseline"/>
              <w:rPr>
                <w:rFonts w:eastAsia="Times New Roman" w:cs="Times New Roman"/>
                <w:lang w:eastAsia="ja-JP"/>
              </w:rPr>
            </w:pPr>
            <w:r w:rsidRPr="00E02A10">
              <w:rPr>
                <w:rFonts w:eastAsia="Times New Roman" w:cs="Times New Roman"/>
                <w:lang w:eastAsia="ja-JP"/>
              </w:rPr>
              <w:t>-</w:t>
            </w:r>
            <w:r w:rsidRPr="00E02A10">
              <w:rPr>
                <w:rFonts w:eastAsia="Times New Roman" w:cs="Times New Roman"/>
                <w:lang w:eastAsia="ja-JP"/>
              </w:rPr>
              <w:tab/>
              <w:t>Intra-frequency neighbour (carrier) measurements: Neighbour carrier measurements performed by the UE are intra-frequency measurements when the configured carrier in the serving cell and the anchor carrier in the target cell operates on the same carrier frequency. The UE shall be able to carry out such measurements without measurement gaps.</w:t>
            </w:r>
          </w:p>
          <w:p w14:paraId="60EF0CD7" w14:textId="77777777" w:rsidR="00C72405" w:rsidRPr="00E02A10" w:rsidRDefault="00C72405" w:rsidP="00330AA8">
            <w:pPr>
              <w:overflowPunct w:val="0"/>
              <w:autoSpaceDE w:val="0"/>
              <w:autoSpaceDN w:val="0"/>
              <w:adjustRightInd w:val="0"/>
              <w:spacing w:after="180"/>
              <w:ind w:left="851" w:right="200" w:hanging="284"/>
              <w:textAlignment w:val="baseline"/>
              <w:rPr>
                <w:rFonts w:eastAsia="Times New Roman" w:cs="Times New Roman"/>
                <w:lang w:eastAsia="ja-JP"/>
              </w:rPr>
            </w:pPr>
            <w:r w:rsidRPr="00E02A10">
              <w:rPr>
                <w:rFonts w:eastAsia="Times New Roman" w:cs="Times New Roman"/>
                <w:lang w:eastAsia="ja-JP"/>
              </w:rPr>
              <w:t>-</w:t>
            </w:r>
            <w:r w:rsidRPr="00E02A10">
              <w:rPr>
                <w:rFonts w:eastAsia="Times New Roman" w:cs="Times New Roman"/>
                <w:lang w:eastAsia="ja-JP"/>
              </w:rPr>
              <w:tab/>
              <w:t>Inter-frequency neighbour (carrier) measurements: Neighbour cell measurements performed by the UE are inter-frequency measurements when the configured carrier in the serving cell and the anchor carrier in the target cell operates on a different carrier frequency. The UE may not be able to perform such measurements without measurement gaps.</w:t>
            </w:r>
          </w:p>
          <w:p w14:paraId="4DCC7A62" w14:textId="77777777" w:rsidR="00C72405" w:rsidRPr="00E02A10" w:rsidRDefault="00C72405" w:rsidP="00330AA8">
            <w:pPr>
              <w:overflowPunct w:val="0"/>
              <w:autoSpaceDE w:val="0"/>
              <w:autoSpaceDN w:val="0"/>
              <w:adjustRightInd w:val="0"/>
              <w:spacing w:after="180"/>
              <w:ind w:left="568" w:right="200" w:hanging="284"/>
              <w:textAlignment w:val="baseline"/>
              <w:rPr>
                <w:rFonts w:eastAsia="Times New Roman" w:cs="Times New Roman"/>
                <w:lang w:eastAsia="zh-CN"/>
              </w:rPr>
            </w:pPr>
            <w:r w:rsidRPr="00E02A10">
              <w:rPr>
                <w:rFonts w:eastAsia="Times New Roman" w:cs="Times New Roman"/>
                <w:lang w:eastAsia="ja-JP"/>
              </w:rPr>
              <w:t>-</w:t>
            </w:r>
            <w:r w:rsidRPr="00E02A10">
              <w:rPr>
                <w:rFonts w:eastAsia="Times New Roman" w:cs="Times New Roman"/>
                <w:lang w:eastAsia="ja-JP"/>
              </w:rPr>
              <w:tab/>
              <w:t xml:space="preserve">The </w:t>
            </w:r>
            <w:proofErr w:type="spellStart"/>
            <w:r w:rsidRPr="00E02A10">
              <w:rPr>
                <w:rFonts w:eastAsia="Times New Roman" w:cs="Times New Roman"/>
                <w:lang w:eastAsia="ja-JP"/>
              </w:rPr>
              <w:t>eNB</w:t>
            </w:r>
            <w:proofErr w:type="spellEnd"/>
            <w:r w:rsidRPr="00E02A10">
              <w:rPr>
                <w:rFonts w:eastAsia="Times New Roman" w:cs="Times New Roman"/>
                <w:lang w:eastAsia="ja-JP"/>
              </w:rPr>
              <w:t xml:space="preserve"> configures the criteria to perform measurements via broadcast signalling;</w:t>
            </w:r>
          </w:p>
          <w:p w14:paraId="387FD91E" w14:textId="77777777" w:rsidR="00C72405" w:rsidRPr="00E02A10" w:rsidRDefault="00C72405" w:rsidP="00330AA8">
            <w:pPr>
              <w:overflowPunct w:val="0"/>
              <w:autoSpaceDE w:val="0"/>
              <w:autoSpaceDN w:val="0"/>
              <w:adjustRightInd w:val="0"/>
              <w:spacing w:after="180"/>
              <w:ind w:left="568" w:right="200" w:hanging="284"/>
              <w:textAlignment w:val="baseline"/>
              <w:rPr>
                <w:rFonts w:eastAsia="Times New Roman" w:cs="Times New Roman"/>
                <w:lang w:eastAsia="ja-JP"/>
              </w:rPr>
            </w:pPr>
            <w:r w:rsidRPr="00E02A10">
              <w:rPr>
                <w:rFonts w:eastAsia="Times New Roman" w:cs="Times New Roman"/>
                <w:lang w:eastAsia="ja-JP"/>
              </w:rPr>
              <w:t>-</w:t>
            </w:r>
            <w:r w:rsidRPr="00E02A10">
              <w:rPr>
                <w:rFonts w:eastAsia="Times New Roman" w:cs="Times New Roman"/>
                <w:lang w:eastAsia="ja-JP"/>
              </w:rPr>
              <w:tab/>
            </w:r>
            <w:r w:rsidRPr="00326212">
              <w:rPr>
                <w:rFonts w:eastAsia="Times New Roman" w:cs="Times New Roman"/>
                <w:lang w:eastAsia="ja-JP"/>
              </w:rPr>
              <w:t xml:space="preserve">Dedicated measurements gaps are not supported. </w:t>
            </w:r>
            <w:r w:rsidRPr="00E02A10">
              <w:rPr>
                <w:rFonts w:eastAsia="Times New Roman" w:cs="Times New Roman"/>
                <w:highlight w:val="yellow"/>
                <w:lang w:eastAsia="ja-JP"/>
              </w:rPr>
              <w:t>The UE may need to perform neighbour cell measurements during DL/UL idle periods that are provided by DRX or packet scheduling</w:t>
            </w:r>
            <w:r w:rsidRPr="00E02A10">
              <w:rPr>
                <w:rFonts w:eastAsia="Times New Roman" w:cs="Times New Roman"/>
                <w:lang w:eastAsia="ja-JP"/>
              </w:rPr>
              <w:t>;</w:t>
            </w:r>
          </w:p>
          <w:p w14:paraId="1BB933BC" w14:textId="77777777" w:rsidR="00C72405" w:rsidRPr="00E02A10" w:rsidRDefault="00C72405" w:rsidP="00330AA8">
            <w:pPr>
              <w:overflowPunct w:val="0"/>
              <w:autoSpaceDE w:val="0"/>
              <w:autoSpaceDN w:val="0"/>
              <w:adjustRightInd w:val="0"/>
              <w:spacing w:after="180"/>
              <w:ind w:left="568" w:right="200" w:hanging="284"/>
              <w:textAlignment w:val="baseline"/>
            </w:pPr>
            <w:r w:rsidRPr="00E02A10">
              <w:rPr>
                <w:rFonts w:eastAsia="Times New Roman" w:cs="Times New Roman"/>
                <w:lang w:eastAsia="ja-JP"/>
              </w:rPr>
              <w:t>-</w:t>
            </w:r>
            <w:r w:rsidRPr="00E02A10">
              <w:rPr>
                <w:rFonts w:eastAsia="Times New Roman" w:cs="Times New Roman"/>
                <w:lang w:eastAsia="ja-JP"/>
              </w:rPr>
              <w:tab/>
              <w:t>Measurement reporting is not supported.</w:t>
            </w:r>
          </w:p>
        </w:tc>
      </w:tr>
    </w:tbl>
    <w:p w14:paraId="00658F5F" w14:textId="77777777" w:rsidR="00326212" w:rsidRDefault="00326212" w:rsidP="00C6489A">
      <w:pPr>
        <w:spacing w:afterLines="50"/>
        <w:jc w:val="both"/>
        <w:rPr>
          <w:rFonts w:cs="Times New Roman"/>
        </w:rPr>
      </w:pPr>
    </w:p>
    <w:p w14:paraId="7FA9D561" w14:textId="6FEC6193" w:rsidR="001C3710" w:rsidRDefault="009C4F97" w:rsidP="00C6489A">
      <w:pPr>
        <w:spacing w:afterLines="50"/>
        <w:jc w:val="both"/>
        <w:rPr>
          <w:rFonts w:eastAsiaTheme="minorEastAsia"/>
          <w:lang w:val="en-US" w:eastAsia="zh-CN"/>
        </w:rPr>
      </w:pPr>
      <w:r w:rsidRPr="00BA50CD">
        <w:rPr>
          <w:rFonts w:cs="Times New Roman"/>
        </w:rPr>
        <w:t xml:space="preserve">For </w:t>
      </w:r>
      <w:r w:rsidR="00B45D67">
        <w:rPr>
          <w:rFonts w:cs="Times New Roman"/>
        </w:rPr>
        <w:t xml:space="preserve">a </w:t>
      </w:r>
      <w:r w:rsidRPr="00BA50CD">
        <w:rPr>
          <w:rFonts w:cs="Times New Roman"/>
        </w:rPr>
        <w:t xml:space="preserve">UE in </w:t>
      </w:r>
      <w:r w:rsidR="00326212">
        <w:rPr>
          <w:rFonts w:cs="Times New Roman"/>
        </w:rPr>
        <w:t xml:space="preserve">the </w:t>
      </w:r>
      <w:r w:rsidR="00366F0A" w:rsidRPr="00BA50CD">
        <w:rPr>
          <w:rFonts w:cs="Times New Roman"/>
        </w:rPr>
        <w:t xml:space="preserve">IoT NTN TDD </w:t>
      </w:r>
      <w:r w:rsidRPr="00BA50CD">
        <w:rPr>
          <w:rFonts w:cs="Times New Roman"/>
        </w:rPr>
        <w:t xml:space="preserve">cell, </w:t>
      </w:r>
      <w:r w:rsidR="005B54CB">
        <w:rPr>
          <w:rFonts w:cs="Times New Roman"/>
        </w:rPr>
        <w:t>it</w:t>
      </w:r>
      <w:r w:rsidRPr="00BA50CD">
        <w:rPr>
          <w:rFonts w:cs="Times New Roman"/>
        </w:rPr>
        <w:t xml:space="preserve"> </w:t>
      </w:r>
      <w:r w:rsidR="005B54CB" w:rsidRPr="00BA50CD">
        <w:rPr>
          <w:rFonts w:cs="Times New Roman"/>
        </w:rPr>
        <w:t xml:space="preserve">cannot perform any service </w:t>
      </w:r>
      <w:bookmarkStart w:id="9" w:name="OLE_LINK153"/>
      <w:bookmarkStart w:id="10" w:name="OLE_LINK154"/>
      <w:r w:rsidR="006F0D95">
        <w:rPr>
          <w:rFonts w:cs="Times New Roman"/>
        </w:rPr>
        <w:t>outside</w:t>
      </w:r>
      <w:r w:rsidR="005B54CB" w:rsidRPr="00BA50CD">
        <w:rPr>
          <w:rFonts w:cs="Times New Roman"/>
        </w:rPr>
        <w:t xml:space="preserve"> the </w:t>
      </w:r>
      <w:r w:rsidR="00D04089" w:rsidRPr="00D04089">
        <w:rPr>
          <w:rFonts w:cs="Times New Roman"/>
        </w:rPr>
        <w:t>available UL and DL subframes</w:t>
      </w:r>
      <w:bookmarkEnd w:id="9"/>
      <w:bookmarkEnd w:id="10"/>
      <w:r w:rsidR="00326212">
        <w:t xml:space="preserve"> </w:t>
      </w:r>
      <w:r w:rsidR="00B45D67">
        <w:t>due to</w:t>
      </w:r>
      <w:r w:rsidR="001C3710" w:rsidRPr="001C3710">
        <w:t xml:space="preserve"> the </w:t>
      </w:r>
      <w:r w:rsidR="001C3710">
        <w:t xml:space="preserve">new </w:t>
      </w:r>
      <w:r w:rsidR="001C3710" w:rsidRPr="001C3710">
        <w:t>frame structure</w:t>
      </w:r>
      <w:r w:rsidR="001C3710">
        <w:t>.</w:t>
      </w:r>
      <w:r w:rsidR="005B54CB">
        <w:rPr>
          <w:rFonts w:cs="Times New Roman"/>
        </w:rPr>
        <w:t xml:space="preserve"> </w:t>
      </w:r>
      <w:proofErr w:type="gramStart"/>
      <w:r w:rsidR="00326212">
        <w:rPr>
          <w:rFonts w:cs="Times New Roman"/>
        </w:rPr>
        <w:t>Therefore</w:t>
      </w:r>
      <w:proofErr w:type="gramEnd"/>
      <w:r w:rsidR="00326212">
        <w:rPr>
          <w:rFonts w:cs="Times New Roman"/>
        </w:rPr>
        <w:t xml:space="preserve"> it is better to allow the UE to perform the</w:t>
      </w:r>
      <w:r w:rsidR="003222E0">
        <w:rPr>
          <w:rFonts w:eastAsiaTheme="minorEastAsia"/>
          <w:lang w:val="en-US" w:eastAsia="zh-CN"/>
        </w:rPr>
        <w:t xml:space="preserve"> </w:t>
      </w:r>
      <w:r w:rsidR="00402FDB" w:rsidRPr="001C3710">
        <w:rPr>
          <w:rFonts w:eastAsiaTheme="minorEastAsia"/>
          <w:lang w:val="en-US" w:eastAsia="zh-CN"/>
        </w:rPr>
        <w:t>inter-frequency neighboring cell measurement</w:t>
      </w:r>
      <w:r w:rsidR="00402FDB" w:rsidRPr="007B6AD5" w:rsidDel="00402FDB">
        <w:rPr>
          <w:rFonts w:eastAsiaTheme="minorEastAsia"/>
          <w:lang w:val="en-US" w:eastAsia="zh-CN"/>
        </w:rPr>
        <w:t xml:space="preserve"> </w:t>
      </w:r>
      <w:r w:rsidR="00326212">
        <w:rPr>
          <w:rFonts w:cs="Times New Roman"/>
        </w:rPr>
        <w:t>outside</w:t>
      </w:r>
      <w:r w:rsidR="00326212" w:rsidRPr="00BA50CD">
        <w:rPr>
          <w:rFonts w:cs="Times New Roman"/>
        </w:rPr>
        <w:t xml:space="preserve"> the </w:t>
      </w:r>
      <w:r w:rsidR="00326212" w:rsidRPr="00D04089">
        <w:rPr>
          <w:rFonts w:cs="Times New Roman"/>
        </w:rPr>
        <w:t>available UL and DL subframes</w:t>
      </w:r>
      <w:r w:rsidR="00326212">
        <w:rPr>
          <w:rFonts w:cs="Times New Roman"/>
        </w:rPr>
        <w:t xml:space="preserve"> when there is no data transmission</w:t>
      </w:r>
      <w:r w:rsidR="003222E0">
        <w:rPr>
          <w:rFonts w:eastAsiaTheme="minorEastAsia"/>
          <w:lang w:val="en-US" w:eastAsia="zh-CN"/>
        </w:rPr>
        <w:t xml:space="preserve">, </w:t>
      </w:r>
      <w:r w:rsidR="003222E0" w:rsidRPr="003222E0">
        <w:rPr>
          <w:rFonts w:eastAsiaTheme="minorEastAsia"/>
          <w:lang w:val="en-US" w:eastAsia="zh-CN"/>
        </w:rPr>
        <w:t xml:space="preserve">so that </w:t>
      </w:r>
      <w:r w:rsidR="00910224">
        <w:rPr>
          <w:rFonts w:eastAsiaTheme="minorEastAsia"/>
          <w:lang w:val="en-US" w:eastAsia="zh-CN"/>
        </w:rPr>
        <w:t xml:space="preserve">the </w:t>
      </w:r>
      <w:r w:rsidR="003222E0" w:rsidRPr="003222E0">
        <w:rPr>
          <w:rFonts w:eastAsiaTheme="minorEastAsia"/>
          <w:lang w:val="en-US" w:eastAsia="zh-CN"/>
        </w:rPr>
        <w:t>normal data transmission</w:t>
      </w:r>
      <w:r w:rsidR="003222E0">
        <w:rPr>
          <w:rFonts w:eastAsiaTheme="minorEastAsia"/>
          <w:lang w:val="en-US" w:eastAsia="zh-CN"/>
        </w:rPr>
        <w:t xml:space="preserve"> during </w:t>
      </w:r>
      <w:r w:rsidR="003222E0" w:rsidRPr="003222E0">
        <w:rPr>
          <w:rFonts w:eastAsiaTheme="minorEastAsia"/>
          <w:lang w:val="en-US" w:eastAsia="zh-CN"/>
        </w:rPr>
        <w:t xml:space="preserve">the serving cell’s </w:t>
      </w:r>
      <w:r w:rsidR="00D04089" w:rsidRPr="00D04089">
        <w:rPr>
          <w:rFonts w:eastAsiaTheme="minorEastAsia"/>
          <w:lang w:val="en-US" w:eastAsia="zh-CN"/>
        </w:rPr>
        <w:t>available UL and DL subframes</w:t>
      </w:r>
      <w:r w:rsidR="00D04089" w:rsidRPr="00D04089" w:rsidDel="00D04089">
        <w:rPr>
          <w:rFonts w:eastAsiaTheme="minorEastAsia"/>
          <w:lang w:val="en-US" w:eastAsia="zh-CN"/>
        </w:rPr>
        <w:t xml:space="preserve"> </w:t>
      </w:r>
      <w:r w:rsidR="00BA4058">
        <w:rPr>
          <w:rFonts w:eastAsiaTheme="minorEastAsia"/>
          <w:lang w:val="en-US" w:eastAsia="zh-CN"/>
        </w:rPr>
        <w:t xml:space="preserve">wouldn’t </w:t>
      </w:r>
      <w:r w:rsidR="00BA4058" w:rsidRPr="003222E0">
        <w:rPr>
          <w:rFonts w:eastAsiaTheme="minorEastAsia"/>
          <w:lang w:val="en-US" w:eastAsia="zh-CN"/>
        </w:rPr>
        <w:t>be</w:t>
      </w:r>
      <w:r w:rsidR="003222E0" w:rsidRPr="003222E0">
        <w:rPr>
          <w:rFonts w:eastAsiaTheme="minorEastAsia"/>
          <w:lang w:val="en-US" w:eastAsia="zh-CN"/>
        </w:rPr>
        <w:t xml:space="preserve"> affected</w:t>
      </w:r>
      <w:r w:rsidR="00910224">
        <w:rPr>
          <w:rFonts w:eastAsiaTheme="minorEastAsia"/>
          <w:lang w:val="en-US" w:eastAsia="zh-CN"/>
        </w:rPr>
        <w:t xml:space="preserve"> by the measurement</w:t>
      </w:r>
      <w:r w:rsidR="003222E0" w:rsidRPr="003222E0">
        <w:rPr>
          <w:rFonts w:eastAsiaTheme="minorEastAsia"/>
          <w:lang w:val="en-US" w:eastAsia="zh-CN"/>
        </w:rPr>
        <w:t>.</w:t>
      </w:r>
      <w:r w:rsidR="00B77375">
        <w:rPr>
          <w:rFonts w:eastAsiaTheme="minorEastAsia"/>
          <w:lang w:val="en-US" w:eastAsia="zh-CN"/>
        </w:rPr>
        <w:t xml:space="preserve"> </w:t>
      </w:r>
    </w:p>
    <w:p w14:paraId="33BFE409" w14:textId="1CFB0A18" w:rsidR="003222E0" w:rsidRDefault="00AB1B68" w:rsidP="006F0D95">
      <w:pPr>
        <w:spacing w:beforeLines="50" w:before="120"/>
        <w:rPr>
          <w:rFonts w:eastAsiaTheme="minorEastAsia" w:cs="Times New Roman"/>
          <w:b/>
          <w:lang w:val="en-US" w:eastAsia="zh-CN"/>
        </w:rPr>
      </w:pPr>
      <w:r w:rsidRPr="00B77CD3">
        <w:rPr>
          <w:rFonts w:eastAsiaTheme="minorEastAsia" w:cs="Times New Roman"/>
          <w:b/>
          <w:lang w:val="en-US" w:eastAsia="zh-CN"/>
        </w:rPr>
        <w:t xml:space="preserve">Proposal </w:t>
      </w:r>
      <w:r w:rsidR="00DD5DA2">
        <w:rPr>
          <w:rFonts w:eastAsiaTheme="minorEastAsia" w:cs="Times New Roman"/>
          <w:b/>
          <w:lang w:val="en-US" w:eastAsia="zh-CN"/>
        </w:rPr>
        <w:t>1</w:t>
      </w:r>
      <w:r w:rsidRPr="00B77CD3">
        <w:rPr>
          <w:rFonts w:eastAsiaTheme="minorEastAsia" w:cs="Times New Roman"/>
          <w:b/>
          <w:lang w:val="en-US" w:eastAsia="zh-CN"/>
        </w:rPr>
        <w:t xml:space="preserve">: </w:t>
      </w:r>
      <w:r w:rsidR="00B77375">
        <w:rPr>
          <w:rFonts w:eastAsiaTheme="minorEastAsia" w:cs="Times New Roman"/>
          <w:b/>
          <w:lang w:val="en-US" w:eastAsia="zh-CN"/>
        </w:rPr>
        <w:t xml:space="preserve">RAN2 </w:t>
      </w:r>
      <w:r w:rsidR="00326212">
        <w:rPr>
          <w:rFonts w:eastAsiaTheme="minorEastAsia" w:cs="Times New Roman"/>
          <w:b/>
          <w:lang w:val="en-US" w:eastAsia="zh-CN"/>
        </w:rPr>
        <w:t xml:space="preserve">to </w:t>
      </w:r>
      <w:r w:rsidR="00B77375">
        <w:rPr>
          <w:rFonts w:eastAsiaTheme="minorEastAsia" w:cs="Times New Roman"/>
          <w:b/>
          <w:lang w:val="en-US" w:eastAsia="zh-CN"/>
        </w:rPr>
        <w:t>confirm that i</w:t>
      </w:r>
      <w:r w:rsidR="00402FDB" w:rsidRPr="00402FDB">
        <w:rPr>
          <w:rFonts w:eastAsiaTheme="minorEastAsia" w:cs="Times New Roman"/>
          <w:b/>
          <w:lang w:val="en-US" w:eastAsia="zh-CN"/>
        </w:rPr>
        <w:t xml:space="preserve">nter-frequency </w:t>
      </w:r>
      <w:r w:rsidRPr="00AB1B68">
        <w:rPr>
          <w:rFonts w:eastAsiaTheme="minorEastAsia" w:cs="Times New Roman"/>
          <w:b/>
          <w:lang w:val="en-US" w:eastAsia="zh-CN"/>
        </w:rPr>
        <w:t>neighboring cell measurement</w:t>
      </w:r>
      <w:r>
        <w:rPr>
          <w:rFonts w:eastAsiaTheme="minorEastAsia" w:cs="Times New Roman"/>
          <w:b/>
          <w:lang w:val="en-US" w:eastAsia="zh-CN"/>
        </w:rPr>
        <w:t xml:space="preserve"> can be performed</w:t>
      </w:r>
      <w:r w:rsidRPr="003222E0">
        <w:rPr>
          <w:rFonts w:eastAsiaTheme="minorEastAsia" w:cs="Times New Roman"/>
          <w:b/>
          <w:lang w:val="en-US" w:eastAsia="zh-CN"/>
        </w:rPr>
        <w:t xml:space="preserve"> outside the serving cell's </w:t>
      </w:r>
      <w:bookmarkStart w:id="11" w:name="_Hlk197631578"/>
      <w:r w:rsidR="00D04089">
        <w:rPr>
          <w:rFonts w:eastAsiaTheme="minorEastAsia" w:cs="Times New Roman"/>
          <w:b/>
          <w:lang w:val="en-US" w:eastAsia="zh-CN"/>
        </w:rPr>
        <w:t xml:space="preserve">available </w:t>
      </w:r>
      <w:r w:rsidRPr="003222E0">
        <w:rPr>
          <w:rFonts w:eastAsiaTheme="minorEastAsia" w:cs="Times New Roman"/>
          <w:b/>
          <w:lang w:val="en-US" w:eastAsia="zh-CN"/>
        </w:rPr>
        <w:t>UL</w:t>
      </w:r>
      <w:r w:rsidR="00D04089">
        <w:rPr>
          <w:rFonts w:eastAsiaTheme="minorEastAsia" w:cs="Times New Roman"/>
          <w:b/>
          <w:lang w:val="en-US" w:eastAsia="zh-CN"/>
        </w:rPr>
        <w:t xml:space="preserve"> and </w:t>
      </w:r>
      <w:r w:rsidRPr="003222E0">
        <w:rPr>
          <w:rFonts w:eastAsiaTheme="minorEastAsia" w:cs="Times New Roman"/>
          <w:b/>
          <w:lang w:val="en-US" w:eastAsia="zh-CN"/>
        </w:rPr>
        <w:t xml:space="preserve">DL </w:t>
      </w:r>
      <w:r w:rsidR="00D04089">
        <w:rPr>
          <w:rFonts w:eastAsiaTheme="minorEastAsia" w:cs="Times New Roman"/>
          <w:b/>
          <w:lang w:val="en-US" w:eastAsia="zh-CN"/>
        </w:rPr>
        <w:t>subframes</w:t>
      </w:r>
      <w:bookmarkEnd w:id="11"/>
      <w:r w:rsidR="00D04089">
        <w:rPr>
          <w:rFonts w:eastAsiaTheme="minorEastAsia" w:cs="Times New Roman"/>
          <w:b/>
          <w:lang w:val="en-US" w:eastAsia="zh-CN"/>
        </w:rPr>
        <w:t xml:space="preserve"> </w:t>
      </w:r>
      <w:r w:rsidRPr="003222E0">
        <w:rPr>
          <w:rFonts w:eastAsiaTheme="minorEastAsia" w:cs="Times New Roman"/>
          <w:b/>
          <w:lang w:val="en-US" w:eastAsia="zh-CN"/>
        </w:rPr>
        <w:t xml:space="preserve">to avoid interfering </w:t>
      </w:r>
      <w:r w:rsidR="00D04089">
        <w:rPr>
          <w:rFonts w:eastAsiaTheme="minorEastAsia" w:cs="Times New Roman"/>
          <w:b/>
          <w:lang w:val="en-US" w:eastAsia="zh-CN"/>
        </w:rPr>
        <w:t xml:space="preserve">the </w:t>
      </w:r>
      <w:r w:rsidRPr="003222E0">
        <w:rPr>
          <w:rFonts w:eastAsiaTheme="minorEastAsia" w:cs="Times New Roman"/>
          <w:b/>
          <w:lang w:val="en-US" w:eastAsia="zh-CN"/>
        </w:rPr>
        <w:t>normal data transmission</w:t>
      </w:r>
      <w:r>
        <w:rPr>
          <w:rFonts w:eastAsiaTheme="minorEastAsia" w:cs="Times New Roman"/>
          <w:b/>
          <w:lang w:val="en-US" w:eastAsia="zh-CN"/>
        </w:rPr>
        <w:t xml:space="preserve"> </w:t>
      </w:r>
      <w:r w:rsidRPr="003222E0">
        <w:rPr>
          <w:rFonts w:eastAsiaTheme="minorEastAsia" w:cs="Times New Roman"/>
          <w:b/>
          <w:lang w:val="en-US" w:eastAsia="zh-CN"/>
        </w:rPr>
        <w:t xml:space="preserve">during the serving cell’s </w:t>
      </w:r>
      <w:r w:rsidR="00D04089">
        <w:rPr>
          <w:rFonts w:eastAsiaTheme="minorEastAsia" w:cs="Times New Roman"/>
          <w:b/>
          <w:lang w:val="en-US" w:eastAsia="zh-CN"/>
        </w:rPr>
        <w:t xml:space="preserve">available </w:t>
      </w:r>
      <w:r w:rsidR="00D04089" w:rsidRPr="003222E0">
        <w:rPr>
          <w:rFonts w:eastAsiaTheme="minorEastAsia" w:cs="Times New Roman"/>
          <w:b/>
          <w:lang w:val="en-US" w:eastAsia="zh-CN"/>
        </w:rPr>
        <w:t>UL</w:t>
      </w:r>
      <w:r w:rsidR="00D04089">
        <w:rPr>
          <w:rFonts w:eastAsiaTheme="minorEastAsia" w:cs="Times New Roman"/>
          <w:b/>
          <w:lang w:val="en-US" w:eastAsia="zh-CN"/>
        </w:rPr>
        <w:t xml:space="preserve"> and </w:t>
      </w:r>
      <w:r w:rsidR="00D04089" w:rsidRPr="003222E0">
        <w:rPr>
          <w:rFonts w:eastAsiaTheme="minorEastAsia" w:cs="Times New Roman"/>
          <w:b/>
          <w:lang w:val="en-US" w:eastAsia="zh-CN"/>
        </w:rPr>
        <w:t xml:space="preserve">DL </w:t>
      </w:r>
      <w:r w:rsidR="00D04089">
        <w:rPr>
          <w:rFonts w:eastAsiaTheme="minorEastAsia" w:cs="Times New Roman"/>
          <w:b/>
          <w:lang w:val="en-US" w:eastAsia="zh-CN"/>
        </w:rPr>
        <w:t>subframes</w:t>
      </w:r>
      <w:r>
        <w:rPr>
          <w:rFonts w:eastAsiaTheme="minorEastAsia" w:cs="Times New Roman"/>
          <w:b/>
          <w:lang w:val="en-US" w:eastAsia="zh-CN"/>
        </w:rPr>
        <w:t>.</w:t>
      </w:r>
    </w:p>
    <w:p w14:paraId="7606BCA4" w14:textId="21544AB6" w:rsidR="003C2363" w:rsidRDefault="003C2363" w:rsidP="006F0D95">
      <w:pPr>
        <w:spacing w:beforeLines="50" w:before="120"/>
        <w:rPr>
          <w:rFonts w:eastAsiaTheme="minorEastAsia"/>
          <w:lang w:val="en-US" w:eastAsia="zh-CN"/>
        </w:rPr>
      </w:pPr>
    </w:p>
    <w:p w14:paraId="039C2595" w14:textId="18EAC730" w:rsidR="004847AE" w:rsidRPr="00446C1D" w:rsidRDefault="00446C1D" w:rsidP="00216829">
      <w:pPr>
        <w:pStyle w:val="2"/>
        <w:keepLines w:val="0"/>
        <w:numPr>
          <w:ilvl w:val="1"/>
          <w:numId w:val="27"/>
        </w:numPr>
        <w:autoSpaceDE w:val="0"/>
        <w:autoSpaceDN w:val="0"/>
        <w:adjustRightInd w:val="0"/>
        <w:snapToGrid w:val="0"/>
        <w:spacing w:before="120"/>
        <w:jc w:val="both"/>
        <w:rPr>
          <w:rFonts w:ascii="Arial" w:eastAsia="Times New Roman" w:hAnsi="Arial" w:cs="Times New Roman"/>
          <w:bCs/>
          <w:lang w:val="en-US" w:eastAsia="en-GB"/>
        </w:rPr>
      </w:pPr>
      <w:r w:rsidRPr="00446C1D">
        <w:rPr>
          <w:rFonts w:ascii="Arial" w:eastAsia="Times New Roman" w:hAnsi="Arial" w:cs="Times New Roman"/>
          <w:bCs/>
          <w:lang w:val="en-US" w:eastAsia="en-GB"/>
        </w:rPr>
        <w:lastRenderedPageBreak/>
        <w:t>Open issue CAP-1</w:t>
      </w:r>
    </w:p>
    <w:p w14:paraId="50E2AC20" w14:textId="28B9F943" w:rsidR="000A0DF7" w:rsidRDefault="000A0DF7" w:rsidP="00E92E8D">
      <w:r>
        <w:t>RAN1 has indicated that the UE supporting band 249 must support this FG</w:t>
      </w:r>
      <w:r w:rsidR="000415D3">
        <w:t xml:space="preserve">. And </w:t>
      </w:r>
      <w:r>
        <w:t xml:space="preserve">the supported bands will be indicated as part of the UE capabilities in </w:t>
      </w:r>
      <w:r w:rsidRPr="00C554CA">
        <w:rPr>
          <w:i/>
        </w:rPr>
        <w:t>supportedBandList-r13</w:t>
      </w:r>
      <w:r>
        <w:t xml:space="preserve">. </w:t>
      </w:r>
      <w:r w:rsidR="000415D3">
        <w:t xml:space="preserve">In this case, if UE indicates support of band 249, it shall support IoT NTN TDD. </w:t>
      </w:r>
      <w:r w:rsidR="00216829">
        <w:t>Therefore,</w:t>
      </w:r>
      <w:r w:rsidR="000415D3">
        <w:t xml:space="preserve"> it is actually a </w:t>
      </w:r>
      <w:r w:rsidR="000415D3" w:rsidRPr="000415D3">
        <w:t>conditionally mandatory feature</w:t>
      </w:r>
      <w:r w:rsidR="000415D3">
        <w:t xml:space="preserve"> as captured in the current running CR</w:t>
      </w:r>
      <w:r>
        <w:t xml:space="preserve">. </w:t>
      </w:r>
    </w:p>
    <w:p w14:paraId="5D13EA4D" w14:textId="2B06720B" w:rsidR="00096010" w:rsidRPr="004847AE" w:rsidRDefault="00096010" w:rsidP="006F0D95">
      <w:pPr>
        <w:spacing w:beforeLines="50" w:before="120"/>
        <w:rPr>
          <w:rFonts w:eastAsiaTheme="minorEastAsia"/>
          <w:lang w:val="en-US" w:eastAsia="zh-CN"/>
        </w:rPr>
      </w:pPr>
      <w:r w:rsidRPr="00B77CD3">
        <w:rPr>
          <w:rFonts w:eastAsiaTheme="minorEastAsia" w:cs="Times New Roman"/>
          <w:b/>
          <w:lang w:val="en-US" w:eastAsia="zh-CN"/>
        </w:rPr>
        <w:t xml:space="preserve">Proposal </w:t>
      </w:r>
      <w:r w:rsidR="00E92E8D">
        <w:rPr>
          <w:rFonts w:eastAsiaTheme="minorEastAsia" w:cs="Times New Roman"/>
          <w:b/>
          <w:lang w:val="en-US" w:eastAsia="zh-CN"/>
        </w:rPr>
        <w:t>2</w:t>
      </w:r>
      <w:r w:rsidRPr="00B77CD3">
        <w:rPr>
          <w:rFonts w:eastAsiaTheme="minorEastAsia" w:cs="Times New Roman"/>
          <w:b/>
          <w:lang w:val="en-US" w:eastAsia="zh-CN"/>
        </w:rPr>
        <w:t>:</w:t>
      </w:r>
      <w:r w:rsidR="00E92E8D">
        <w:rPr>
          <w:rFonts w:eastAsiaTheme="minorEastAsia" w:cs="Times New Roman"/>
          <w:b/>
          <w:lang w:val="en-US" w:eastAsia="zh-CN"/>
        </w:rPr>
        <w:t xml:space="preserve"> </w:t>
      </w:r>
      <w:r w:rsidR="000415D3">
        <w:rPr>
          <w:rFonts w:eastAsiaTheme="minorEastAsia" w:cs="Times New Roman"/>
          <w:b/>
          <w:lang w:val="en-US" w:eastAsia="zh-CN"/>
        </w:rPr>
        <w:t xml:space="preserve">Capability of IoT NTN TDD mode </w:t>
      </w:r>
      <w:r w:rsidR="00E92E8D" w:rsidRPr="00E92E8D">
        <w:rPr>
          <w:rFonts w:eastAsiaTheme="minorEastAsia" w:cs="Times New Roman"/>
          <w:b/>
          <w:lang w:val="en-US" w:eastAsia="zh-CN"/>
        </w:rPr>
        <w:t xml:space="preserve">is </w:t>
      </w:r>
      <w:r w:rsidR="000415D3">
        <w:rPr>
          <w:rFonts w:eastAsiaTheme="minorEastAsia" w:cs="Times New Roman"/>
          <w:b/>
          <w:lang w:val="en-US" w:eastAsia="zh-CN"/>
        </w:rPr>
        <w:t xml:space="preserve">defined as </w:t>
      </w:r>
      <w:r w:rsidR="00E92E8D" w:rsidRPr="00E92E8D">
        <w:rPr>
          <w:rFonts w:eastAsiaTheme="minorEastAsia" w:cs="Times New Roman"/>
          <w:b/>
          <w:lang w:val="en-US" w:eastAsia="zh-CN"/>
        </w:rPr>
        <w:t xml:space="preserve">a </w:t>
      </w:r>
      <w:r w:rsidR="000415D3">
        <w:rPr>
          <w:rFonts w:eastAsiaTheme="minorEastAsia" w:cs="Times New Roman"/>
          <w:b/>
          <w:lang w:val="en-US" w:eastAsia="zh-CN"/>
        </w:rPr>
        <w:t>c</w:t>
      </w:r>
      <w:r w:rsidR="00E92E8D" w:rsidRPr="00E92E8D">
        <w:rPr>
          <w:rFonts w:eastAsiaTheme="minorEastAsia" w:cs="Times New Roman"/>
          <w:b/>
          <w:lang w:val="en-US" w:eastAsia="zh-CN"/>
        </w:rPr>
        <w:t xml:space="preserve">onditionally </w:t>
      </w:r>
      <w:r w:rsidR="000415D3">
        <w:rPr>
          <w:rFonts w:eastAsiaTheme="minorEastAsia" w:cs="Times New Roman"/>
          <w:b/>
          <w:lang w:val="en-US" w:eastAsia="zh-CN"/>
        </w:rPr>
        <w:t>m</w:t>
      </w:r>
      <w:r w:rsidR="00E92E8D" w:rsidRPr="00E92E8D">
        <w:rPr>
          <w:rFonts w:eastAsiaTheme="minorEastAsia" w:cs="Times New Roman"/>
          <w:b/>
          <w:lang w:val="en-US" w:eastAsia="zh-CN"/>
        </w:rPr>
        <w:t>andatory feature</w:t>
      </w:r>
      <w:r w:rsidR="000415D3">
        <w:rPr>
          <w:rFonts w:eastAsiaTheme="minorEastAsia" w:cs="Times New Roman"/>
          <w:b/>
          <w:lang w:val="en-US" w:eastAsia="zh-CN"/>
        </w:rPr>
        <w:t xml:space="preserve"> as in the 36.306 running CR</w:t>
      </w:r>
      <w:r w:rsidR="00E92E8D">
        <w:rPr>
          <w:rFonts w:eastAsiaTheme="minorEastAsia" w:cs="Times New Roman"/>
          <w:b/>
          <w:lang w:val="en-US" w:eastAsia="zh-CN"/>
        </w:rPr>
        <w:t>.</w:t>
      </w:r>
    </w:p>
    <w:bookmarkEnd w:id="8"/>
    <w:p w14:paraId="296C3BA5" w14:textId="74AC38A9" w:rsidR="007A6D02" w:rsidRPr="00C02CCE"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hint="eastAsia"/>
          <w:lang w:eastAsia="en-GB"/>
        </w:rPr>
        <w:t>Conclusion</w:t>
      </w:r>
      <w:r>
        <w:rPr>
          <w:rFonts w:ascii="Arial" w:eastAsia="Times New Roman" w:hAnsi="Arial"/>
          <w:lang w:eastAsia="en-GB"/>
        </w:rPr>
        <w:t xml:space="preserve"> </w:t>
      </w:r>
    </w:p>
    <w:p w14:paraId="3838E111" w14:textId="77777777" w:rsidR="007A6D02" w:rsidRDefault="007A6D02" w:rsidP="007A6D02">
      <w:pPr>
        <w:spacing w:beforeLines="50" w:before="120"/>
      </w:pPr>
      <w:r w:rsidRPr="00551AC2">
        <w:t>The observations and proposals made in this contribution are summarized belo</w:t>
      </w:r>
      <w:r>
        <w:t>w:</w:t>
      </w:r>
    </w:p>
    <w:p w14:paraId="78FB0492" w14:textId="38521528" w:rsidR="00AB1B68" w:rsidRPr="00AB1B68" w:rsidRDefault="00AB1B68" w:rsidP="00AB1B68">
      <w:pPr>
        <w:spacing w:beforeLines="50" w:before="120"/>
        <w:rPr>
          <w:rFonts w:eastAsiaTheme="minorEastAsia" w:cs="Times New Roman"/>
          <w:i/>
          <w:u w:val="single"/>
          <w:lang w:eastAsia="zh-CN"/>
        </w:rPr>
      </w:pPr>
      <w:bookmarkStart w:id="12" w:name="_GoBack"/>
      <w:bookmarkEnd w:id="12"/>
      <w:r w:rsidRPr="00AB1B68">
        <w:rPr>
          <w:rFonts w:eastAsiaTheme="minorEastAsia" w:cs="Times New Roman"/>
          <w:i/>
          <w:u w:val="single"/>
          <w:lang w:eastAsia="zh-CN"/>
        </w:rPr>
        <w:t>Impact on Measurement</w:t>
      </w:r>
    </w:p>
    <w:p w14:paraId="7C77B94B" w14:textId="3B49388C" w:rsidR="00B77375" w:rsidRDefault="00B77375" w:rsidP="00B77375">
      <w:pPr>
        <w:spacing w:beforeLines="50" w:before="120"/>
        <w:rPr>
          <w:rFonts w:eastAsiaTheme="minorEastAsia" w:cs="Times New Roman"/>
          <w:b/>
          <w:lang w:val="en-US" w:eastAsia="zh-CN"/>
        </w:rPr>
      </w:pPr>
      <w:r w:rsidRPr="00B77CD3">
        <w:rPr>
          <w:rFonts w:eastAsiaTheme="minorEastAsia" w:cs="Times New Roman"/>
          <w:b/>
          <w:lang w:val="en-US" w:eastAsia="zh-CN"/>
        </w:rPr>
        <w:t xml:space="preserve">Proposal </w:t>
      </w:r>
      <w:r>
        <w:rPr>
          <w:rFonts w:eastAsiaTheme="minorEastAsia" w:cs="Times New Roman"/>
          <w:b/>
          <w:lang w:val="en-US" w:eastAsia="zh-CN"/>
        </w:rPr>
        <w:t>1</w:t>
      </w:r>
      <w:r w:rsidRPr="00B77CD3">
        <w:rPr>
          <w:rFonts w:eastAsiaTheme="minorEastAsia" w:cs="Times New Roman"/>
          <w:b/>
          <w:lang w:val="en-US" w:eastAsia="zh-CN"/>
        </w:rPr>
        <w:t xml:space="preserve">: </w:t>
      </w:r>
      <w:r>
        <w:rPr>
          <w:rFonts w:eastAsiaTheme="minorEastAsia" w:cs="Times New Roman"/>
          <w:b/>
          <w:lang w:val="en-US" w:eastAsia="zh-CN"/>
        </w:rPr>
        <w:t xml:space="preserve">RAN2 </w:t>
      </w:r>
      <w:r w:rsidR="00326212">
        <w:rPr>
          <w:rFonts w:eastAsiaTheme="minorEastAsia" w:cs="Times New Roman"/>
          <w:b/>
          <w:lang w:val="en-US" w:eastAsia="zh-CN"/>
        </w:rPr>
        <w:t xml:space="preserve">to </w:t>
      </w:r>
      <w:r>
        <w:rPr>
          <w:rFonts w:eastAsiaTheme="minorEastAsia" w:cs="Times New Roman"/>
          <w:b/>
          <w:lang w:val="en-US" w:eastAsia="zh-CN"/>
        </w:rPr>
        <w:t>confirm that i</w:t>
      </w:r>
      <w:r w:rsidRPr="00402FDB">
        <w:rPr>
          <w:rFonts w:eastAsiaTheme="minorEastAsia" w:cs="Times New Roman"/>
          <w:b/>
          <w:lang w:val="en-US" w:eastAsia="zh-CN"/>
        </w:rPr>
        <w:t xml:space="preserve">nter-frequency </w:t>
      </w:r>
      <w:r w:rsidRPr="00AB1B68">
        <w:rPr>
          <w:rFonts w:eastAsiaTheme="minorEastAsia" w:cs="Times New Roman"/>
          <w:b/>
          <w:lang w:val="en-US" w:eastAsia="zh-CN"/>
        </w:rPr>
        <w:t>neighboring cell measurement</w:t>
      </w:r>
      <w:r>
        <w:rPr>
          <w:rFonts w:eastAsiaTheme="minorEastAsia" w:cs="Times New Roman"/>
          <w:b/>
          <w:lang w:val="en-US" w:eastAsia="zh-CN"/>
        </w:rPr>
        <w:t xml:space="preserve"> can be performed</w:t>
      </w:r>
      <w:r w:rsidRPr="003222E0">
        <w:rPr>
          <w:rFonts w:eastAsiaTheme="minorEastAsia" w:cs="Times New Roman"/>
          <w:b/>
          <w:lang w:val="en-US" w:eastAsia="zh-CN"/>
        </w:rPr>
        <w:t xml:space="preserve"> during </w:t>
      </w:r>
      <w:r>
        <w:rPr>
          <w:rFonts w:eastAsiaTheme="minorEastAsia" w:cs="Times New Roman"/>
          <w:b/>
          <w:lang w:val="en-US" w:eastAsia="zh-CN"/>
        </w:rPr>
        <w:t>the GAP configured</w:t>
      </w:r>
      <w:r w:rsidRPr="003222E0">
        <w:rPr>
          <w:rFonts w:eastAsiaTheme="minorEastAsia" w:cs="Times New Roman"/>
          <w:b/>
          <w:lang w:val="en-US" w:eastAsia="zh-CN"/>
        </w:rPr>
        <w:t xml:space="preserve"> outside the serving cell's </w:t>
      </w:r>
      <w:r>
        <w:rPr>
          <w:rFonts w:eastAsiaTheme="minorEastAsia" w:cs="Times New Roman"/>
          <w:b/>
          <w:lang w:val="en-US" w:eastAsia="zh-CN"/>
        </w:rPr>
        <w:t xml:space="preserve">available </w:t>
      </w:r>
      <w:r w:rsidRPr="003222E0">
        <w:rPr>
          <w:rFonts w:eastAsiaTheme="minorEastAsia" w:cs="Times New Roman"/>
          <w:b/>
          <w:lang w:val="en-US" w:eastAsia="zh-CN"/>
        </w:rPr>
        <w:t>UL</w:t>
      </w:r>
      <w:r>
        <w:rPr>
          <w:rFonts w:eastAsiaTheme="minorEastAsia" w:cs="Times New Roman"/>
          <w:b/>
          <w:lang w:val="en-US" w:eastAsia="zh-CN"/>
        </w:rPr>
        <w:t xml:space="preserve"> and </w:t>
      </w:r>
      <w:r w:rsidRPr="003222E0">
        <w:rPr>
          <w:rFonts w:eastAsiaTheme="minorEastAsia" w:cs="Times New Roman"/>
          <w:b/>
          <w:lang w:val="en-US" w:eastAsia="zh-CN"/>
        </w:rPr>
        <w:t xml:space="preserve">DL </w:t>
      </w:r>
      <w:r>
        <w:rPr>
          <w:rFonts w:eastAsiaTheme="minorEastAsia" w:cs="Times New Roman"/>
          <w:b/>
          <w:lang w:val="en-US" w:eastAsia="zh-CN"/>
        </w:rPr>
        <w:t xml:space="preserve">subframes </w:t>
      </w:r>
      <w:r w:rsidRPr="003222E0">
        <w:rPr>
          <w:rFonts w:eastAsiaTheme="minorEastAsia" w:cs="Times New Roman"/>
          <w:b/>
          <w:lang w:val="en-US" w:eastAsia="zh-CN"/>
        </w:rPr>
        <w:t xml:space="preserve">to avoid interfering </w:t>
      </w:r>
      <w:r>
        <w:rPr>
          <w:rFonts w:eastAsiaTheme="minorEastAsia" w:cs="Times New Roman"/>
          <w:b/>
          <w:lang w:val="en-US" w:eastAsia="zh-CN"/>
        </w:rPr>
        <w:t xml:space="preserve">the </w:t>
      </w:r>
      <w:r w:rsidRPr="003222E0">
        <w:rPr>
          <w:rFonts w:eastAsiaTheme="minorEastAsia" w:cs="Times New Roman"/>
          <w:b/>
          <w:lang w:val="en-US" w:eastAsia="zh-CN"/>
        </w:rPr>
        <w:t>normal data transmission</w:t>
      </w:r>
      <w:r>
        <w:rPr>
          <w:rFonts w:eastAsiaTheme="minorEastAsia" w:cs="Times New Roman"/>
          <w:b/>
          <w:lang w:val="en-US" w:eastAsia="zh-CN"/>
        </w:rPr>
        <w:t xml:space="preserve"> </w:t>
      </w:r>
      <w:r w:rsidRPr="003222E0">
        <w:rPr>
          <w:rFonts w:eastAsiaTheme="minorEastAsia" w:cs="Times New Roman"/>
          <w:b/>
          <w:lang w:val="en-US" w:eastAsia="zh-CN"/>
        </w:rPr>
        <w:t xml:space="preserve">during the serving cell’s </w:t>
      </w:r>
      <w:r>
        <w:rPr>
          <w:rFonts w:eastAsiaTheme="minorEastAsia" w:cs="Times New Roman"/>
          <w:b/>
          <w:lang w:val="en-US" w:eastAsia="zh-CN"/>
        </w:rPr>
        <w:t xml:space="preserve">available </w:t>
      </w:r>
      <w:r w:rsidRPr="003222E0">
        <w:rPr>
          <w:rFonts w:eastAsiaTheme="minorEastAsia" w:cs="Times New Roman"/>
          <w:b/>
          <w:lang w:val="en-US" w:eastAsia="zh-CN"/>
        </w:rPr>
        <w:t>UL</w:t>
      </w:r>
      <w:r>
        <w:rPr>
          <w:rFonts w:eastAsiaTheme="minorEastAsia" w:cs="Times New Roman"/>
          <w:b/>
          <w:lang w:val="en-US" w:eastAsia="zh-CN"/>
        </w:rPr>
        <w:t xml:space="preserve"> and </w:t>
      </w:r>
      <w:r w:rsidRPr="003222E0">
        <w:rPr>
          <w:rFonts w:eastAsiaTheme="minorEastAsia" w:cs="Times New Roman"/>
          <w:b/>
          <w:lang w:val="en-US" w:eastAsia="zh-CN"/>
        </w:rPr>
        <w:t xml:space="preserve">DL </w:t>
      </w:r>
      <w:r>
        <w:rPr>
          <w:rFonts w:eastAsiaTheme="minorEastAsia" w:cs="Times New Roman"/>
          <w:b/>
          <w:lang w:val="en-US" w:eastAsia="zh-CN"/>
        </w:rPr>
        <w:t>subframes.</w:t>
      </w:r>
    </w:p>
    <w:p w14:paraId="2DAF5942" w14:textId="39D1E53E" w:rsidR="00DD5DA2" w:rsidRPr="00B77375" w:rsidRDefault="00DD5DA2" w:rsidP="00AB1B68">
      <w:pPr>
        <w:spacing w:beforeLines="50" w:before="120"/>
        <w:rPr>
          <w:rFonts w:eastAsiaTheme="minorEastAsia"/>
          <w:b/>
          <w:lang w:val="en-US" w:eastAsia="zh-CN"/>
        </w:rPr>
      </w:pPr>
    </w:p>
    <w:p w14:paraId="44544F12" w14:textId="59D15F79" w:rsidR="00DD5DA2" w:rsidRPr="00216829" w:rsidRDefault="00DD5DA2" w:rsidP="00AB1B68">
      <w:pPr>
        <w:spacing w:beforeLines="50" w:before="120"/>
        <w:rPr>
          <w:rFonts w:eastAsiaTheme="minorEastAsia" w:cs="Times New Roman"/>
          <w:i/>
          <w:u w:val="single"/>
          <w:lang w:val="en-US" w:eastAsia="zh-CN"/>
        </w:rPr>
      </w:pPr>
      <w:r w:rsidRPr="00DD5DA2">
        <w:rPr>
          <w:rFonts w:eastAsiaTheme="minorEastAsia" w:cs="Times New Roman"/>
          <w:i/>
          <w:u w:val="single"/>
          <w:lang w:eastAsia="zh-CN"/>
        </w:rPr>
        <w:t>Open issue CAP-1</w:t>
      </w:r>
    </w:p>
    <w:p w14:paraId="081EC44E" w14:textId="2BE2752B" w:rsidR="00DD5DA2" w:rsidRPr="00216829" w:rsidRDefault="000415D3" w:rsidP="00AB1B68">
      <w:pPr>
        <w:spacing w:beforeLines="50" w:before="120"/>
        <w:rPr>
          <w:rFonts w:eastAsiaTheme="minorEastAsia"/>
          <w:b/>
          <w:lang w:val="en-US" w:eastAsia="zh-CN"/>
        </w:rPr>
      </w:pPr>
      <w:r w:rsidRPr="00B77CD3">
        <w:rPr>
          <w:rFonts w:eastAsiaTheme="minorEastAsia" w:cs="Times New Roman"/>
          <w:b/>
          <w:lang w:val="en-US" w:eastAsia="zh-CN"/>
        </w:rPr>
        <w:t xml:space="preserve">Proposal </w:t>
      </w:r>
      <w:r>
        <w:rPr>
          <w:rFonts w:eastAsiaTheme="minorEastAsia" w:cs="Times New Roman"/>
          <w:b/>
          <w:lang w:val="en-US" w:eastAsia="zh-CN"/>
        </w:rPr>
        <w:t>2</w:t>
      </w:r>
      <w:r w:rsidRPr="00B77CD3">
        <w:rPr>
          <w:rFonts w:eastAsiaTheme="minorEastAsia" w:cs="Times New Roman"/>
          <w:b/>
          <w:lang w:val="en-US" w:eastAsia="zh-CN"/>
        </w:rPr>
        <w:t>:</w:t>
      </w:r>
      <w:r>
        <w:rPr>
          <w:rFonts w:eastAsiaTheme="minorEastAsia" w:cs="Times New Roman"/>
          <w:b/>
          <w:lang w:val="en-US" w:eastAsia="zh-CN"/>
        </w:rPr>
        <w:t xml:space="preserve"> Capability of IoT NTN TDD mode </w:t>
      </w:r>
      <w:r w:rsidRPr="00E92E8D">
        <w:rPr>
          <w:rFonts w:eastAsiaTheme="minorEastAsia" w:cs="Times New Roman"/>
          <w:b/>
          <w:lang w:val="en-US" w:eastAsia="zh-CN"/>
        </w:rPr>
        <w:t xml:space="preserve">is </w:t>
      </w:r>
      <w:r>
        <w:rPr>
          <w:rFonts w:eastAsiaTheme="minorEastAsia" w:cs="Times New Roman"/>
          <w:b/>
          <w:lang w:val="en-US" w:eastAsia="zh-CN"/>
        </w:rPr>
        <w:t xml:space="preserve">defined as </w:t>
      </w:r>
      <w:r w:rsidRPr="00E92E8D">
        <w:rPr>
          <w:rFonts w:eastAsiaTheme="minorEastAsia" w:cs="Times New Roman"/>
          <w:b/>
          <w:lang w:val="en-US" w:eastAsia="zh-CN"/>
        </w:rPr>
        <w:t xml:space="preserve">a </w:t>
      </w:r>
      <w:r>
        <w:rPr>
          <w:rFonts w:eastAsiaTheme="minorEastAsia" w:cs="Times New Roman"/>
          <w:b/>
          <w:lang w:val="en-US" w:eastAsia="zh-CN"/>
        </w:rPr>
        <w:t>c</w:t>
      </w:r>
      <w:r w:rsidRPr="00E92E8D">
        <w:rPr>
          <w:rFonts w:eastAsiaTheme="minorEastAsia" w:cs="Times New Roman"/>
          <w:b/>
          <w:lang w:val="en-US" w:eastAsia="zh-CN"/>
        </w:rPr>
        <w:t xml:space="preserve">onditionally </w:t>
      </w:r>
      <w:r>
        <w:rPr>
          <w:rFonts w:eastAsiaTheme="minorEastAsia" w:cs="Times New Roman"/>
          <w:b/>
          <w:lang w:val="en-US" w:eastAsia="zh-CN"/>
        </w:rPr>
        <w:t>m</w:t>
      </w:r>
      <w:r w:rsidRPr="00E92E8D">
        <w:rPr>
          <w:rFonts w:eastAsiaTheme="minorEastAsia" w:cs="Times New Roman"/>
          <w:b/>
          <w:lang w:val="en-US" w:eastAsia="zh-CN"/>
        </w:rPr>
        <w:t>andatory feature</w:t>
      </w:r>
      <w:r>
        <w:rPr>
          <w:rFonts w:eastAsiaTheme="minorEastAsia" w:cs="Times New Roman"/>
          <w:b/>
          <w:lang w:val="en-US" w:eastAsia="zh-CN"/>
        </w:rPr>
        <w:t xml:space="preserve"> as in the 36.306 running CR.</w:t>
      </w:r>
    </w:p>
    <w:p w14:paraId="7EA97BB3" w14:textId="77777777" w:rsidR="007A6D02" w:rsidRPr="00C02CCE" w:rsidRDefault="007A6D02" w:rsidP="007A6D02">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References</w:t>
      </w:r>
    </w:p>
    <w:p w14:paraId="46FB81EE" w14:textId="77777777" w:rsidR="007A6D02" w:rsidRDefault="007A6D02" w:rsidP="007A6D02">
      <w:pPr>
        <w:pStyle w:val="References"/>
        <w:tabs>
          <w:tab w:val="clear" w:pos="643"/>
          <w:tab w:val="num" w:pos="360"/>
        </w:tabs>
        <w:ind w:left="360"/>
      </w:pPr>
      <w:bookmarkStart w:id="13" w:name="OLE_LINK1"/>
      <w:r w:rsidRPr="00280B26">
        <w:t>RP-242415</w:t>
      </w:r>
      <w:bookmarkEnd w:id="13"/>
      <w:r>
        <w:rPr>
          <w:lang w:eastAsia="zh-CN"/>
        </w:rPr>
        <w:t xml:space="preserve">, </w:t>
      </w:r>
      <w:r w:rsidRPr="005407BE">
        <w:rPr>
          <w:lang w:eastAsia="zh-CN"/>
        </w:rPr>
        <w:t>New WID on introduction of IoT-NTN TDD mode</w:t>
      </w:r>
    </w:p>
    <w:p w14:paraId="39B463B3" w14:textId="77777777" w:rsidR="007A6D02" w:rsidRDefault="007A6D02" w:rsidP="007A6D02">
      <w:pPr>
        <w:pStyle w:val="References"/>
        <w:tabs>
          <w:tab w:val="clear" w:pos="643"/>
          <w:tab w:val="num" w:pos="360"/>
        </w:tabs>
        <w:ind w:left="360"/>
      </w:pPr>
      <w:r w:rsidRPr="00280B26">
        <w:t>Chair notes RAN1#119 eom1</w:t>
      </w:r>
    </w:p>
    <w:p w14:paraId="58619481" w14:textId="77777777" w:rsidR="007A6D02" w:rsidRPr="00466D99" w:rsidRDefault="007A6D02" w:rsidP="007A6D02">
      <w:pPr>
        <w:pStyle w:val="References"/>
        <w:tabs>
          <w:tab w:val="clear" w:pos="643"/>
          <w:tab w:val="num" w:pos="360"/>
        </w:tabs>
        <w:ind w:left="360"/>
      </w:pPr>
      <w:r w:rsidRPr="0012172F">
        <w:rPr>
          <w:lang w:val="en-GB"/>
        </w:rPr>
        <w:t>RP‑243293</w:t>
      </w:r>
      <w:r>
        <w:rPr>
          <w:lang w:val="en-GB"/>
        </w:rPr>
        <w:t xml:space="preserve">, </w:t>
      </w:r>
      <w:r w:rsidRPr="0012172F">
        <w:rPr>
          <w:lang w:val="en-GB"/>
        </w:rPr>
        <w:t>Revised WID on introduction of IoT-NTN TDD mode</w:t>
      </w:r>
    </w:p>
    <w:p w14:paraId="1AB85098" w14:textId="1B2A007C" w:rsidR="007A6D02" w:rsidRDefault="007B2753" w:rsidP="006F0D95">
      <w:pPr>
        <w:pStyle w:val="References"/>
        <w:tabs>
          <w:tab w:val="clear" w:pos="643"/>
          <w:tab w:val="num" w:pos="360"/>
        </w:tabs>
        <w:ind w:left="360"/>
      </w:pPr>
      <w:r w:rsidRPr="007B2753">
        <w:t>R2-2504673</w:t>
      </w:r>
      <w:r w:rsidR="007A6D02">
        <w:rPr>
          <w:lang w:val="en-GB"/>
        </w:rPr>
        <w:t xml:space="preserve">, </w:t>
      </w:r>
      <w:r w:rsidR="008979E4" w:rsidRPr="008979E4">
        <w:rPr>
          <w:lang w:val="en-GB"/>
        </w:rPr>
        <w:t>Report from Break-out session on NR-NTN and IoT-NTN</w:t>
      </w:r>
    </w:p>
    <w:sectPr w:rsidR="007A6D02"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4FAE" w16cex:dateUtc="2025-01-28T11:44:00Z"/>
  <w16cex:commentExtensible w16cex:durableId="2B435165" w16cex:dateUtc="2025-01-28T1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B8360" w14:textId="77777777" w:rsidR="003618BC" w:rsidRDefault="003618BC">
      <w:r>
        <w:separator/>
      </w:r>
    </w:p>
  </w:endnote>
  <w:endnote w:type="continuationSeparator" w:id="0">
    <w:p w14:paraId="750839FD" w14:textId="77777777" w:rsidR="003618BC" w:rsidRDefault="0036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ab"/>
    </w:pPr>
    <w:r w:rsidRPr="00B75678">
      <w:tab/>
      <w:t xml:space="preserve"> </w:t>
    </w:r>
    <w:r>
      <w:fldChar w:fldCharType="begin"/>
    </w:r>
    <w:r>
      <w:instrText xml:space="preserve"> PAGE </w:instrText>
    </w:r>
    <w:r>
      <w:fldChar w:fldCharType="separate"/>
    </w:r>
    <w:r w:rsidR="00A264B1">
      <w:t>4</w:t>
    </w:r>
    <w:r>
      <w:fldChar w:fldCharType="end"/>
    </w:r>
    <w:r>
      <w:rPr>
        <w:rFonts w:hint="eastAsia"/>
        <w:lang w:eastAsia="zh-CN"/>
      </w:rPr>
      <w:t>/</w:t>
    </w:r>
    <w:r>
      <w:fldChar w:fldCharType="begin"/>
    </w:r>
    <w:r>
      <w:instrText xml:space="preserve"> NUMPAGES </w:instrText>
    </w:r>
    <w:r>
      <w:fldChar w:fldCharType="separate"/>
    </w:r>
    <w:r w:rsidR="00A264B1">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444ED" w14:textId="77777777" w:rsidR="003618BC" w:rsidRDefault="003618BC">
      <w:r>
        <w:separator/>
      </w:r>
    </w:p>
  </w:footnote>
  <w:footnote w:type="continuationSeparator" w:id="0">
    <w:p w14:paraId="4614AA1B" w14:textId="77777777" w:rsidR="003618BC" w:rsidRDefault="00361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EB215F"/>
    <w:multiLevelType w:val="hybridMultilevel"/>
    <w:tmpl w:val="FDC0400A"/>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F65793F"/>
    <w:multiLevelType w:val="hybridMultilevel"/>
    <w:tmpl w:val="4D62271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5E6712F"/>
    <w:multiLevelType w:val="hybridMultilevel"/>
    <w:tmpl w:val="84D66750"/>
    <w:lvl w:ilvl="0" w:tplc="9536D1F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51C43"/>
    <w:multiLevelType w:val="hybridMultilevel"/>
    <w:tmpl w:val="C432279C"/>
    <w:lvl w:ilvl="0" w:tplc="03702094">
      <w:start w:val="1"/>
      <w:numFmt w:val="bullet"/>
      <w:lvlText w:val="•"/>
      <w:lvlJc w:val="left"/>
      <w:pPr>
        <w:tabs>
          <w:tab w:val="num" w:pos="720"/>
        </w:tabs>
        <w:ind w:left="720" w:hanging="360"/>
      </w:pPr>
      <w:rPr>
        <w:rFonts w:ascii="Arial" w:hAnsi="Arial" w:hint="default"/>
      </w:rPr>
    </w:lvl>
    <w:lvl w:ilvl="1" w:tplc="475613F4" w:tentative="1">
      <w:start w:val="1"/>
      <w:numFmt w:val="bullet"/>
      <w:lvlText w:val="•"/>
      <w:lvlJc w:val="left"/>
      <w:pPr>
        <w:tabs>
          <w:tab w:val="num" w:pos="1440"/>
        </w:tabs>
        <w:ind w:left="1440" w:hanging="360"/>
      </w:pPr>
      <w:rPr>
        <w:rFonts w:ascii="Arial" w:hAnsi="Arial" w:hint="default"/>
      </w:rPr>
    </w:lvl>
    <w:lvl w:ilvl="2" w:tplc="BC04947A" w:tentative="1">
      <w:start w:val="1"/>
      <w:numFmt w:val="bullet"/>
      <w:lvlText w:val="•"/>
      <w:lvlJc w:val="left"/>
      <w:pPr>
        <w:tabs>
          <w:tab w:val="num" w:pos="2160"/>
        </w:tabs>
        <w:ind w:left="2160" w:hanging="360"/>
      </w:pPr>
      <w:rPr>
        <w:rFonts w:ascii="Arial" w:hAnsi="Arial" w:hint="default"/>
      </w:rPr>
    </w:lvl>
    <w:lvl w:ilvl="3" w:tplc="724E901E" w:tentative="1">
      <w:start w:val="1"/>
      <w:numFmt w:val="bullet"/>
      <w:lvlText w:val="•"/>
      <w:lvlJc w:val="left"/>
      <w:pPr>
        <w:tabs>
          <w:tab w:val="num" w:pos="2880"/>
        </w:tabs>
        <w:ind w:left="2880" w:hanging="360"/>
      </w:pPr>
      <w:rPr>
        <w:rFonts w:ascii="Arial" w:hAnsi="Arial" w:hint="default"/>
      </w:rPr>
    </w:lvl>
    <w:lvl w:ilvl="4" w:tplc="72B4C43C" w:tentative="1">
      <w:start w:val="1"/>
      <w:numFmt w:val="bullet"/>
      <w:lvlText w:val="•"/>
      <w:lvlJc w:val="left"/>
      <w:pPr>
        <w:tabs>
          <w:tab w:val="num" w:pos="3600"/>
        </w:tabs>
        <w:ind w:left="3600" w:hanging="360"/>
      </w:pPr>
      <w:rPr>
        <w:rFonts w:ascii="Arial" w:hAnsi="Arial" w:hint="default"/>
      </w:rPr>
    </w:lvl>
    <w:lvl w:ilvl="5" w:tplc="A91C181C" w:tentative="1">
      <w:start w:val="1"/>
      <w:numFmt w:val="bullet"/>
      <w:lvlText w:val="•"/>
      <w:lvlJc w:val="left"/>
      <w:pPr>
        <w:tabs>
          <w:tab w:val="num" w:pos="4320"/>
        </w:tabs>
        <w:ind w:left="4320" w:hanging="360"/>
      </w:pPr>
      <w:rPr>
        <w:rFonts w:ascii="Arial" w:hAnsi="Arial" w:hint="default"/>
      </w:rPr>
    </w:lvl>
    <w:lvl w:ilvl="6" w:tplc="409ADC9E" w:tentative="1">
      <w:start w:val="1"/>
      <w:numFmt w:val="bullet"/>
      <w:lvlText w:val="•"/>
      <w:lvlJc w:val="left"/>
      <w:pPr>
        <w:tabs>
          <w:tab w:val="num" w:pos="5040"/>
        </w:tabs>
        <w:ind w:left="5040" w:hanging="360"/>
      </w:pPr>
      <w:rPr>
        <w:rFonts w:ascii="Arial" w:hAnsi="Arial" w:hint="default"/>
      </w:rPr>
    </w:lvl>
    <w:lvl w:ilvl="7" w:tplc="52D06DFA" w:tentative="1">
      <w:start w:val="1"/>
      <w:numFmt w:val="bullet"/>
      <w:lvlText w:val="•"/>
      <w:lvlJc w:val="left"/>
      <w:pPr>
        <w:tabs>
          <w:tab w:val="num" w:pos="5760"/>
        </w:tabs>
        <w:ind w:left="5760" w:hanging="360"/>
      </w:pPr>
      <w:rPr>
        <w:rFonts w:ascii="Arial" w:hAnsi="Arial" w:hint="default"/>
      </w:rPr>
    </w:lvl>
    <w:lvl w:ilvl="8" w:tplc="69BCB2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B43528"/>
    <w:multiLevelType w:val="hybridMultilevel"/>
    <w:tmpl w:val="052E08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8D16B4"/>
    <w:multiLevelType w:val="hybridMultilevel"/>
    <w:tmpl w:val="54D60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5"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20DCF"/>
    <w:multiLevelType w:val="hybridMultilevel"/>
    <w:tmpl w:val="E064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2"/>
  </w:num>
  <w:num w:numId="2">
    <w:abstractNumId w:val="13"/>
  </w:num>
  <w:num w:numId="3">
    <w:abstractNumId w:val="34"/>
  </w:num>
  <w:num w:numId="4">
    <w:abstractNumId w:val="2"/>
  </w:num>
  <w:num w:numId="5">
    <w:abstractNumId w:val="1"/>
  </w:num>
  <w:num w:numId="6">
    <w:abstractNumId w:val="0"/>
  </w:num>
  <w:num w:numId="7">
    <w:abstractNumId w:val="16"/>
  </w:num>
  <w:num w:numId="8">
    <w:abstractNumId w:val="37"/>
  </w:num>
  <w:num w:numId="9">
    <w:abstractNumId w:val="29"/>
  </w:num>
  <w:num w:numId="10">
    <w:abstractNumId w:val="11"/>
  </w:num>
  <w:num w:numId="11">
    <w:abstractNumId w:val="20"/>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32"/>
  </w:num>
  <w:num w:numId="16">
    <w:abstractNumId w:val="33"/>
  </w:num>
  <w:num w:numId="17">
    <w:abstractNumId w:val="23"/>
  </w:num>
  <w:num w:numId="18">
    <w:abstractNumId w:val="7"/>
  </w:num>
  <w:num w:numId="19">
    <w:abstractNumId w:val="39"/>
  </w:num>
  <w:num w:numId="20">
    <w:abstractNumId w:val="9"/>
  </w:num>
  <w:num w:numId="21">
    <w:abstractNumId w:val="30"/>
  </w:num>
  <w:num w:numId="22">
    <w:abstractNumId w:val="12"/>
  </w:num>
  <w:num w:numId="23">
    <w:abstractNumId w:val="18"/>
  </w:num>
  <w:num w:numId="24">
    <w:abstractNumId w:val="10"/>
  </w:num>
  <w:num w:numId="25">
    <w:abstractNumId w:val="35"/>
  </w:num>
  <w:num w:numId="26">
    <w:abstractNumId w:val="3"/>
  </w:num>
  <w:num w:numId="27">
    <w:abstractNumId w:val="17"/>
  </w:num>
  <w:num w:numId="28">
    <w:abstractNumId w:val="22"/>
  </w:num>
  <w:num w:numId="29">
    <w:abstractNumId w:val="15"/>
  </w:num>
  <w:num w:numId="30">
    <w:abstractNumId w:val="27"/>
  </w:num>
  <w:num w:numId="31">
    <w:abstractNumId w:val="38"/>
  </w:num>
  <w:num w:numId="32">
    <w:abstractNumId w:val="40"/>
  </w:num>
  <w:num w:numId="33">
    <w:abstractNumId w:val="5"/>
  </w:num>
  <w:num w:numId="34">
    <w:abstractNumId w:val="21"/>
  </w:num>
  <w:num w:numId="35">
    <w:abstractNumId w:val="28"/>
  </w:num>
  <w:num w:numId="36">
    <w:abstractNumId w:val="41"/>
  </w:num>
  <w:num w:numId="37">
    <w:abstractNumId w:val="19"/>
  </w:num>
  <w:num w:numId="38">
    <w:abstractNumId w:val="8"/>
  </w:num>
  <w:num w:numId="39">
    <w:abstractNumId w:val="25"/>
  </w:num>
  <w:num w:numId="40">
    <w:abstractNumId w:val="24"/>
  </w:num>
  <w:num w:numId="41">
    <w:abstractNumId w:val="26"/>
  </w:num>
  <w:num w:numId="42">
    <w:abstractNumId w:val="14"/>
  </w:num>
  <w:num w:numId="43">
    <w:abstractNumId w:val="36"/>
  </w:num>
  <w:num w:numId="44">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B3B"/>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6E36"/>
    <w:rsid w:val="000374E1"/>
    <w:rsid w:val="00037529"/>
    <w:rsid w:val="000377C0"/>
    <w:rsid w:val="00037829"/>
    <w:rsid w:val="00037D96"/>
    <w:rsid w:val="00037DB4"/>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5D3"/>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0AF"/>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A7C"/>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2D7"/>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59C"/>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05"/>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5E4C"/>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10"/>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0DF7"/>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59D"/>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BE1"/>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AC4"/>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E7F"/>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1FB7"/>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CD0"/>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857"/>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51"/>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C98"/>
    <w:rsid w:val="00117D7A"/>
    <w:rsid w:val="00117DC4"/>
    <w:rsid w:val="00117E84"/>
    <w:rsid w:val="00117FA0"/>
    <w:rsid w:val="0012005D"/>
    <w:rsid w:val="001203E7"/>
    <w:rsid w:val="001206CA"/>
    <w:rsid w:val="00120B20"/>
    <w:rsid w:val="00120C4D"/>
    <w:rsid w:val="00120E42"/>
    <w:rsid w:val="00120EEF"/>
    <w:rsid w:val="001211EA"/>
    <w:rsid w:val="0012142A"/>
    <w:rsid w:val="00121649"/>
    <w:rsid w:val="0012172F"/>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27E93"/>
    <w:rsid w:val="001300AA"/>
    <w:rsid w:val="00130756"/>
    <w:rsid w:val="001309CE"/>
    <w:rsid w:val="00130A28"/>
    <w:rsid w:val="00130A37"/>
    <w:rsid w:val="00130C8A"/>
    <w:rsid w:val="00130EAE"/>
    <w:rsid w:val="00131018"/>
    <w:rsid w:val="0013101C"/>
    <w:rsid w:val="001310CD"/>
    <w:rsid w:val="00131136"/>
    <w:rsid w:val="0013129E"/>
    <w:rsid w:val="0013152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6BD"/>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18"/>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5F64"/>
    <w:rsid w:val="001A6093"/>
    <w:rsid w:val="001A6096"/>
    <w:rsid w:val="001A6755"/>
    <w:rsid w:val="001A6A14"/>
    <w:rsid w:val="001A6B91"/>
    <w:rsid w:val="001A7067"/>
    <w:rsid w:val="001A71C4"/>
    <w:rsid w:val="001A74A0"/>
    <w:rsid w:val="001A76BB"/>
    <w:rsid w:val="001A7EC0"/>
    <w:rsid w:val="001B0053"/>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B7EF2"/>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710"/>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2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A4"/>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1B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81"/>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829"/>
    <w:rsid w:val="002169A0"/>
    <w:rsid w:val="00217076"/>
    <w:rsid w:val="0021721E"/>
    <w:rsid w:val="002172B4"/>
    <w:rsid w:val="00217310"/>
    <w:rsid w:val="00217335"/>
    <w:rsid w:val="00217359"/>
    <w:rsid w:val="00217360"/>
    <w:rsid w:val="0021776F"/>
    <w:rsid w:val="002178A1"/>
    <w:rsid w:val="00217AC6"/>
    <w:rsid w:val="00217B72"/>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E"/>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4F4"/>
    <w:rsid w:val="002405A2"/>
    <w:rsid w:val="002405D2"/>
    <w:rsid w:val="002406AF"/>
    <w:rsid w:val="00240769"/>
    <w:rsid w:val="00240FD4"/>
    <w:rsid w:val="002410E5"/>
    <w:rsid w:val="002410E7"/>
    <w:rsid w:val="0024141D"/>
    <w:rsid w:val="00241564"/>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3C53"/>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03"/>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77E00"/>
    <w:rsid w:val="00280125"/>
    <w:rsid w:val="0028027B"/>
    <w:rsid w:val="00280292"/>
    <w:rsid w:val="002802CD"/>
    <w:rsid w:val="002804C2"/>
    <w:rsid w:val="0028062F"/>
    <w:rsid w:val="002807B4"/>
    <w:rsid w:val="002808AD"/>
    <w:rsid w:val="002808B1"/>
    <w:rsid w:val="002809FB"/>
    <w:rsid w:val="00280B26"/>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E94"/>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ACF"/>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1C"/>
    <w:rsid w:val="002A2FC1"/>
    <w:rsid w:val="002A3236"/>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35C"/>
    <w:rsid w:val="002A7667"/>
    <w:rsid w:val="002A7A04"/>
    <w:rsid w:val="002A7C35"/>
    <w:rsid w:val="002A7CC5"/>
    <w:rsid w:val="002A7EB8"/>
    <w:rsid w:val="002A7F18"/>
    <w:rsid w:val="002A7F67"/>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37"/>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255"/>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BE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768"/>
    <w:rsid w:val="002E3A24"/>
    <w:rsid w:val="002E3A9C"/>
    <w:rsid w:val="002E3AF5"/>
    <w:rsid w:val="002E3BFD"/>
    <w:rsid w:val="002E3D18"/>
    <w:rsid w:val="002E3D2E"/>
    <w:rsid w:val="002E3F26"/>
    <w:rsid w:val="002E4185"/>
    <w:rsid w:val="002E43A6"/>
    <w:rsid w:val="002E44BF"/>
    <w:rsid w:val="002E44C0"/>
    <w:rsid w:val="002E4683"/>
    <w:rsid w:val="002E481F"/>
    <w:rsid w:val="002E48B7"/>
    <w:rsid w:val="002E49DC"/>
    <w:rsid w:val="002E4C14"/>
    <w:rsid w:val="002E5179"/>
    <w:rsid w:val="002E5DFF"/>
    <w:rsid w:val="002E5EC7"/>
    <w:rsid w:val="002E6261"/>
    <w:rsid w:val="002E67CD"/>
    <w:rsid w:val="002E68DE"/>
    <w:rsid w:val="002E6CC7"/>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260"/>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E0"/>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212"/>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9AE"/>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4BA"/>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B4"/>
    <w:rsid w:val="00343FE3"/>
    <w:rsid w:val="0034422A"/>
    <w:rsid w:val="003442FF"/>
    <w:rsid w:val="0034433C"/>
    <w:rsid w:val="003444B1"/>
    <w:rsid w:val="00344CB6"/>
    <w:rsid w:val="00344DEC"/>
    <w:rsid w:val="00344ED4"/>
    <w:rsid w:val="003455E9"/>
    <w:rsid w:val="003456A6"/>
    <w:rsid w:val="003456B3"/>
    <w:rsid w:val="00345804"/>
    <w:rsid w:val="00345B13"/>
    <w:rsid w:val="00345CC3"/>
    <w:rsid w:val="00345D48"/>
    <w:rsid w:val="00345DFD"/>
    <w:rsid w:val="00345F4F"/>
    <w:rsid w:val="00346239"/>
    <w:rsid w:val="00346426"/>
    <w:rsid w:val="003466AB"/>
    <w:rsid w:val="0034699B"/>
    <w:rsid w:val="00346B7A"/>
    <w:rsid w:val="00346C84"/>
    <w:rsid w:val="0034730E"/>
    <w:rsid w:val="003473D9"/>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37A"/>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8BC"/>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6F0A"/>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0C8"/>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9DC"/>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BA9"/>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B7B4E"/>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363"/>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6EFA"/>
    <w:rsid w:val="003C7470"/>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862"/>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BB"/>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328"/>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566"/>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2FDB"/>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382"/>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0F61"/>
    <w:rsid w:val="004110B3"/>
    <w:rsid w:val="00411183"/>
    <w:rsid w:val="004112A6"/>
    <w:rsid w:val="004114B0"/>
    <w:rsid w:val="004114EC"/>
    <w:rsid w:val="0041165A"/>
    <w:rsid w:val="0041197C"/>
    <w:rsid w:val="00411982"/>
    <w:rsid w:val="00411A30"/>
    <w:rsid w:val="00411C13"/>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49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30"/>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0F59"/>
    <w:rsid w:val="00441161"/>
    <w:rsid w:val="004413BC"/>
    <w:rsid w:val="004414B9"/>
    <w:rsid w:val="00441609"/>
    <w:rsid w:val="00441621"/>
    <w:rsid w:val="0044190F"/>
    <w:rsid w:val="004419A5"/>
    <w:rsid w:val="00441BA6"/>
    <w:rsid w:val="00441BFB"/>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1D"/>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36B"/>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3BED"/>
    <w:rsid w:val="00464246"/>
    <w:rsid w:val="004643DB"/>
    <w:rsid w:val="0046489A"/>
    <w:rsid w:val="00464CBA"/>
    <w:rsid w:val="00464ED5"/>
    <w:rsid w:val="00464EDE"/>
    <w:rsid w:val="00464F88"/>
    <w:rsid w:val="0046514B"/>
    <w:rsid w:val="004655A0"/>
    <w:rsid w:val="004657C2"/>
    <w:rsid w:val="00465F09"/>
    <w:rsid w:val="00466021"/>
    <w:rsid w:val="0046623E"/>
    <w:rsid w:val="004666F0"/>
    <w:rsid w:val="00466B68"/>
    <w:rsid w:val="00466BB8"/>
    <w:rsid w:val="00466BC2"/>
    <w:rsid w:val="00466C92"/>
    <w:rsid w:val="00466D99"/>
    <w:rsid w:val="00466E30"/>
    <w:rsid w:val="00466EAA"/>
    <w:rsid w:val="004671CE"/>
    <w:rsid w:val="00467784"/>
    <w:rsid w:val="004677B5"/>
    <w:rsid w:val="004678D4"/>
    <w:rsid w:val="00467C4D"/>
    <w:rsid w:val="00467F21"/>
    <w:rsid w:val="00467FB4"/>
    <w:rsid w:val="00470038"/>
    <w:rsid w:val="004704C4"/>
    <w:rsid w:val="0047070E"/>
    <w:rsid w:val="0047076F"/>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580"/>
    <w:rsid w:val="004847AE"/>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4D"/>
    <w:rsid w:val="004938DF"/>
    <w:rsid w:val="00493A11"/>
    <w:rsid w:val="00493C01"/>
    <w:rsid w:val="00493CF3"/>
    <w:rsid w:val="004940AB"/>
    <w:rsid w:val="00494325"/>
    <w:rsid w:val="004943E4"/>
    <w:rsid w:val="00494612"/>
    <w:rsid w:val="00494708"/>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9C"/>
    <w:rsid w:val="004A03E9"/>
    <w:rsid w:val="004A0421"/>
    <w:rsid w:val="004A0517"/>
    <w:rsid w:val="004A0574"/>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BD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0FC8"/>
    <w:rsid w:val="004D1072"/>
    <w:rsid w:val="004D109D"/>
    <w:rsid w:val="004D11DD"/>
    <w:rsid w:val="004D1652"/>
    <w:rsid w:val="004D17ED"/>
    <w:rsid w:val="004D184C"/>
    <w:rsid w:val="004D18E1"/>
    <w:rsid w:val="004D1E55"/>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22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1E1"/>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26"/>
    <w:rsid w:val="00501091"/>
    <w:rsid w:val="005013C9"/>
    <w:rsid w:val="00501781"/>
    <w:rsid w:val="00501823"/>
    <w:rsid w:val="00501958"/>
    <w:rsid w:val="005019B3"/>
    <w:rsid w:val="00501E37"/>
    <w:rsid w:val="00502054"/>
    <w:rsid w:val="005020BA"/>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4DDA"/>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685"/>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19C"/>
    <w:rsid w:val="0052022C"/>
    <w:rsid w:val="0052047F"/>
    <w:rsid w:val="005204B2"/>
    <w:rsid w:val="005204E2"/>
    <w:rsid w:val="0052072E"/>
    <w:rsid w:val="005208DB"/>
    <w:rsid w:val="00520BCA"/>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7BE"/>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6AC"/>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6F6"/>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DB6"/>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004"/>
    <w:rsid w:val="0055717D"/>
    <w:rsid w:val="00557261"/>
    <w:rsid w:val="0055728C"/>
    <w:rsid w:val="00557364"/>
    <w:rsid w:val="005573F7"/>
    <w:rsid w:val="005574CB"/>
    <w:rsid w:val="00557B13"/>
    <w:rsid w:val="00560030"/>
    <w:rsid w:val="00560791"/>
    <w:rsid w:val="00560A28"/>
    <w:rsid w:val="00560E1A"/>
    <w:rsid w:val="00560E56"/>
    <w:rsid w:val="00560FAF"/>
    <w:rsid w:val="0056112B"/>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7E"/>
    <w:rsid w:val="005664BF"/>
    <w:rsid w:val="005669A1"/>
    <w:rsid w:val="00566E95"/>
    <w:rsid w:val="0056725E"/>
    <w:rsid w:val="005673C1"/>
    <w:rsid w:val="0056743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54"/>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4F64"/>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4C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093"/>
    <w:rsid w:val="005E02CF"/>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6FCC"/>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3F2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99A"/>
    <w:rsid w:val="00603C69"/>
    <w:rsid w:val="00603E1F"/>
    <w:rsid w:val="006041BC"/>
    <w:rsid w:val="006041D2"/>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65D"/>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47C5E"/>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645"/>
    <w:rsid w:val="00653D47"/>
    <w:rsid w:val="00653DBB"/>
    <w:rsid w:val="00653E84"/>
    <w:rsid w:val="00653F03"/>
    <w:rsid w:val="00654258"/>
    <w:rsid w:val="006542B5"/>
    <w:rsid w:val="006543D2"/>
    <w:rsid w:val="0065444B"/>
    <w:rsid w:val="00654825"/>
    <w:rsid w:val="00654854"/>
    <w:rsid w:val="00654933"/>
    <w:rsid w:val="00654A1C"/>
    <w:rsid w:val="00654B29"/>
    <w:rsid w:val="00654B8C"/>
    <w:rsid w:val="00654D16"/>
    <w:rsid w:val="00655109"/>
    <w:rsid w:val="00655174"/>
    <w:rsid w:val="0065539B"/>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09"/>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468"/>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767"/>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4FF2"/>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93E"/>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3CA9"/>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73"/>
    <w:rsid w:val="006A2ED7"/>
    <w:rsid w:val="006A3436"/>
    <w:rsid w:val="006A3F91"/>
    <w:rsid w:val="006A42C2"/>
    <w:rsid w:val="006A4953"/>
    <w:rsid w:val="006A4BC4"/>
    <w:rsid w:val="006A5368"/>
    <w:rsid w:val="006A54A2"/>
    <w:rsid w:val="006A5778"/>
    <w:rsid w:val="006A5A23"/>
    <w:rsid w:val="006A5C01"/>
    <w:rsid w:val="006A5DC3"/>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5BE"/>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6"/>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A50"/>
    <w:rsid w:val="006D0D08"/>
    <w:rsid w:val="006D0D45"/>
    <w:rsid w:val="006D0E43"/>
    <w:rsid w:val="006D0EBE"/>
    <w:rsid w:val="006D101F"/>
    <w:rsid w:val="006D1536"/>
    <w:rsid w:val="006D15F5"/>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5E"/>
    <w:rsid w:val="006D6349"/>
    <w:rsid w:val="006D6448"/>
    <w:rsid w:val="006D670B"/>
    <w:rsid w:val="006D6756"/>
    <w:rsid w:val="006D69B5"/>
    <w:rsid w:val="006D6AB5"/>
    <w:rsid w:val="006D6C0D"/>
    <w:rsid w:val="006D6DD5"/>
    <w:rsid w:val="006D6F37"/>
    <w:rsid w:val="006D7034"/>
    <w:rsid w:val="006D70B2"/>
    <w:rsid w:val="006D7157"/>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AFE"/>
    <w:rsid w:val="006E3BDA"/>
    <w:rsid w:val="006E3C14"/>
    <w:rsid w:val="006E3C4B"/>
    <w:rsid w:val="006E3F1F"/>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D95"/>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E1B"/>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C7"/>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4F7B"/>
    <w:rsid w:val="007152AA"/>
    <w:rsid w:val="0071537C"/>
    <w:rsid w:val="00715390"/>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1E7"/>
    <w:rsid w:val="007243AD"/>
    <w:rsid w:val="0072450B"/>
    <w:rsid w:val="00724562"/>
    <w:rsid w:val="0072456D"/>
    <w:rsid w:val="007245C9"/>
    <w:rsid w:val="0072472A"/>
    <w:rsid w:val="00724837"/>
    <w:rsid w:val="007248F4"/>
    <w:rsid w:val="007249D3"/>
    <w:rsid w:val="00724BC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20"/>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44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335"/>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16F"/>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57E"/>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02"/>
    <w:rsid w:val="007A6D6E"/>
    <w:rsid w:val="007A6F3B"/>
    <w:rsid w:val="007A70F0"/>
    <w:rsid w:val="007A7392"/>
    <w:rsid w:val="007A76C4"/>
    <w:rsid w:val="007A7876"/>
    <w:rsid w:val="007A7AD3"/>
    <w:rsid w:val="007A7C5C"/>
    <w:rsid w:val="007A7D93"/>
    <w:rsid w:val="007A7EDD"/>
    <w:rsid w:val="007B018E"/>
    <w:rsid w:val="007B02CE"/>
    <w:rsid w:val="007B035C"/>
    <w:rsid w:val="007B06EB"/>
    <w:rsid w:val="007B07E0"/>
    <w:rsid w:val="007B08A8"/>
    <w:rsid w:val="007B12B4"/>
    <w:rsid w:val="007B1628"/>
    <w:rsid w:val="007B18B8"/>
    <w:rsid w:val="007B1CC7"/>
    <w:rsid w:val="007B1D12"/>
    <w:rsid w:val="007B1D9C"/>
    <w:rsid w:val="007B1E4F"/>
    <w:rsid w:val="007B1EEA"/>
    <w:rsid w:val="007B1F23"/>
    <w:rsid w:val="007B1F6B"/>
    <w:rsid w:val="007B2173"/>
    <w:rsid w:val="007B275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AD5"/>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D1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95"/>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1DE"/>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6F6"/>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4EF"/>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2A"/>
    <w:rsid w:val="00805D0A"/>
    <w:rsid w:val="00805FEE"/>
    <w:rsid w:val="00806087"/>
    <w:rsid w:val="008060DE"/>
    <w:rsid w:val="008067DB"/>
    <w:rsid w:val="0080691F"/>
    <w:rsid w:val="00806BB9"/>
    <w:rsid w:val="008070C5"/>
    <w:rsid w:val="00807B67"/>
    <w:rsid w:val="00807F13"/>
    <w:rsid w:val="00810071"/>
    <w:rsid w:val="00810168"/>
    <w:rsid w:val="00810214"/>
    <w:rsid w:val="0081033E"/>
    <w:rsid w:val="00810412"/>
    <w:rsid w:val="008106D6"/>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20A"/>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17D"/>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00"/>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25A"/>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C0B"/>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C5"/>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3FE5"/>
    <w:rsid w:val="008943B8"/>
    <w:rsid w:val="0089453C"/>
    <w:rsid w:val="0089482E"/>
    <w:rsid w:val="00894C29"/>
    <w:rsid w:val="00894F7E"/>
    <w:rsid w:val="00895009"/>
    <w:rsid w:val="0089558C"/>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9E4"/>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ECB"/>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8D9"/>
    <w:rsid w:val="008E59EC"/>
    <w:rsid w:val="008E5B5F"/>
    <w:rsid w:val="008E66B9"/>
    <w:rsid w:val="008E6832"/>
    <w:rsid w:val="008E6A4B"/>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B1"/>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AA0"/>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C6A"/>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224"/>
    <w:rsid w:val="00910850"/>
    <w:rsid w:val="00910CC6"/>
    <w:rsid w:val="00910E3D"/>
    <w:rsid w:val="00910ED0"/>
    <w:rsid w:val="00910EEA"/>
    <w:rsid w:val="00910F81"/>
    <w:rsid w:val="00911040"/>
    <w:rsid w:val="009112A0"/>
    <w:rsid w:val="009112B4"/>
    <w:rsid w:val="00911543"/>
    <w:rsid w:val="00911609"/>
    <w:rsid w:val="009117FE"/>
    <w:rsid w:val="00911AFE"/>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A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E93"/>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1CFF"/>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BEB"/>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899"/>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739"/>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8D"/>
    <w:rsid w:val="009717D9"/>
    <w:rsid w:val="0097189A"/>
    <w:rsid w:val="00971BDE"/>
    <w:rsid w:val="00971CB9"/>
    <w:rsid w:val="00971EDB"/>
    <w:rsid w:val="00972409"/>
    <w:rsid w:val="00972684"/>
    <w:rsid w:val="00972CA9"/>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99B"/>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9B3"/>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8E"/>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45"/>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837"/>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4F97"/>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96F"/>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8C6"/>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5F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686"/>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6DF"/>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492"/>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82B"/>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78A"/>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2AE"/>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3DB"/>
    <w:rsid w:val="00A7043D"/>
    <w:rsid w:val="00A705FF"/>
    <w:rsid w:val="00A70720"/>
    <w:rsid w:val="00A7078F"/>
    <w:rsid w:val="00A70802"/>
    <w:rsid w:val="00A70C88"/>
    <w:rsid w:val="00A70DA3"/>
    <w:rsid w:val="00A71060"/>
    <w:rsid w:val="00A713E5"/>
    <w:rsid w:val="00A714AE"/>
    <w:rsid w:val="00A7169D"/>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083"/>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B68"/>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09B"/>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8C2"/>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05B"/>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E3D"/>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8FD"/>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1A1"/>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579"/>
    <w:rsid w:val="00B43A30"/>
    <w:rsid w:val="00B43CB4"/>
    <w:rsid w:val="00B43EC2"/>
    <w:rsid w:val="00B44132"/>
    <w:rsid w:val="00B45016"/>
    <w:rsid w:val="00B452E7"/>
    <w:rsid w:val="00B45AC4"/>
    <w:rsid w:val="00B45C18"/>
    <w:rsid w:val="00B45D67"/>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375"/>
    <w:rsid w:val="00B774C3"/>
    <w:rsid w:val="00B77537"/>
    <w:rsid w:val="00B775AF"/>
    <w:rsid w:val="00B7763F"/>
    <w:rsid w:val="00B77714"/>
    <w:rsid w:val="00B77B5B"/>
    <w:rsid w:val="00B77CD3"/>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33"/>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58"/>
    <w:rsid w:val="00BA40CD"/>
    <w:rsid w:val="00BA43A4"/>
    <w:rsid w:val="00BA4BE1"/>
    <w:rsid w:val="00BA4C7D"/>
    <w:rsid w:val="00BA50CD"/>
    <w:rsid w:val="00BA52EC"/>
    <w:rsid w:val="00BA57C1"/>
    <w:rsid w:val="00BA5858"/>
    <w:rsid w:val="00BA5979"/>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2C6"/>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C0"/>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1F6E"/>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1E"/>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E7F"/>
    <w:rsid w:val="00C13FA3"/>
    <w:rsid w:val="00C144CE"/>
    <w:rsid w:val="00C1476B"/>
    <w:rsid w:val="00C14CFF"/>
    <w:rsid w:val="00C1514D"/>
    <w:rsid w:val="00C151C5"/>
    <w:rsid w:val="00C152D6"/>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2F9D"/>
    <w:rsid w:val="00C23032"/>
    <w:rsid w:val="00C231E7"/>
    <w:rsid w:val="00C235CF"/>
    <w:rsid w:val="00C238AD"/>
    <w:rsid w:val="00C2395B"/>
    <w:rsid w:val="00C23A59"/>
    <w:rsid w:val="00C23CFA"/>
    <w:rsid w:val="00C23D49"/>
    <w:rsid w:val="00C24130"/>
    <w:rsid w:val="00C2448E"/>
    <w:rsid w:val="00C2466D"/>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37FCD"/>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B0"/>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6E9F"/>
    <w:rsid w:val="00C57176"/>
    <w:rsid w:val="00C57284"/>
    <w:rsid w:val="00C573A2"/>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89A"/>
    <w:rsid w:val="00C64990"/>
    <w:rsid w:val="00C64C14"/>
    <w:rsid w:val="00C65084"/>
    <w:rsid w:val="00C65430"/>
    <w:rsid w:val="00C65811"/>
    <w:rsid w:val="00C6597F"/>
    <w:rsid w:val="00C65D4C"/>
    <w:rsid w:val="00C65E67"/>
    <w:rsid w:val="00C662B6"/>
    <w:rsid w:val="00C664EB"/>
    <w:rsid w:val="00C66881"/>
    <w:rsid w:val="00C66990"/>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05"/>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9D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4A6"/>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60"/>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21E"/>
    <w:rsid w:val="00CA5422"/>
    <w:rsid w:val="00CA5446"/>
    <w:rsid w:val="00CA5455"/>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9A"/>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5F5"/>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6BD"/>
    <w:rsid w:val="00CD37C7"/>
    <w:rsid w:val="00CD38B8"/>
    <w:rsid w:val="00CD3964"/>
    <w:rsid w:val="00CD39DD"/>
    <w:rsid w:val="00CD3A7D"/>
    <w:rsid w:val="00CD3BB7"/>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32E"/>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2F"/>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C86"/>
    <w:rsid w:val="00D04089"/>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BF"/>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13"/>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BCC"/>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37C"/>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5B3"/>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550"/>
    <w:rsid w:val="00D8495A"/>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1EA"/>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6E17"/>
    <w:rsid w:val="00DB7305"/>
    <w:rsid w:val="00DB7380"/>
    <w:rsid w:val="00DB73F7"/>
    <w:rsid w:val="00DB74E2"/>
    <w:rsid w:val="00DB7520"/>
    <w:rsid w:val="00DB792B"/>
    <w:rsid w:val="00DB7951"/>
    <w:rsid w:val="00DB7984"/>
    <w:rsid w:val="00DB7AE1"/>
    <w:rsid w:val="00DB7C37"/>
    <w:rsid w:val="00DC011A"/>
    <w:rsid w:val="00DC04E2"/>
    <w:rsid w:val="00DC05E7"/>
    <w:rsid w:val="00DC06EB"/>
    <w:rsid w:val="00DC0763"/>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A56"/>
    <w:rsid w:val="00DC5B1B"/>
    <w:rsid w:val="00DC5C5E"/>
    <w:rsid w:val="00DC5F66"/>
    <w:rsid w:val="00DC632E"/>
    <w:rsid w:val="00DC6397"/>
    <w:rsid w:val="00DC651D"/>
    <w:rsid w:val="00DC6793"/>
    <w:rsid w:val="00DC6A2B"/>
    <w:rsid w:val="00DC6A8D"/>
    <w:rsid w:val="00DC6AF9"/>
    <w:rsid w:val="00DC6BDE"/>
    <w:rsid w:val="00DC6CE1"/>
    <w:rsid w:val="00DC6D5F"/>
    <w:rsid w:val="00DC6F66"/>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5DA2"/>
    <w:rsid w:val="00DD6466"/>
    <w:rsid w:val="00DD666A"/>
    <w:rsid w:val="00DD66B6"/>
    <w:rsid w:val="00DD685B"/>
    <w:rsid w:val="00DD6867"/>
    <w:rsid w:val="00DD69EA"/>
    <w:rsid w:val="00DD6AC8"/>
    <w:rsid w:val="00DD6C9E"/>
    <w:rsid w:val="00DD6DF3"/>
    <w:rsid w:val="00DD71B2"/>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48"/>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245"/>
    <w:rsid w:val="00DF0403"/>
    <w:rsid w:val="00DF0459"/>
    <w:rsid w:val="00DF052C"/>
    <w:rsid w:val="00DF086E"/>
    <w:rsid w:val="00DF0959"/>
    <w:rsid w:val="00DF09EB"/>
    <w:rsid w:val="00DF0DD2"/>
    <w:rsid w:val="00DF0DF8"/>
    <w:rsid w:val="00DF0E3C"/>
    <w:rsid w:val="00DF0E5A"/>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00"/>
    <w:rsid w:val="00DF7F76"/>
    <w:rsid w:val="00DF7FAD"/>
    <w:rsid w:val="00E0009D"/>
    <w:rsid w:val="00E000D4"/>
    <w:rsid w:val="00E0025E"/>
    <w:rsid w:val="00E0046E"/>
    <w:rsid w:val="00E005DF"/>
    <w:rsid w:val="00E00689"/>
    <w:rsid w:val="00E0095F"/>
    <w:rsid w:val="00E00B6D"/>
    <w:rsid w:val="00E00CF9"/>
    <w:rsid w:val="00E00F83"/>
    <w:rsid w:val="00E010A9"/>
    <w:rsid w:val="00E0122D"/>
    <w:rsid w:val="00E018A9"/>
    <w:rsid w:val="00E0195E"/>
    <w:rsid w:val="00E01FE4"/>
    <w:rsid w:val="00E02351"/>
    <w:rsid w:val="00E026AF"/>
    <w:rsid w:val="00E02710"/>
    <w:rsid w:val="00E02974"/>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0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169"/>
    <w:rsid w:val="00E2062E"/>
    <w:rsid w:val="00E207D2"/>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5FDC"/>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63"/>
    <w:rsid w:val="00E407F5"/>
    <w:rsid w:val="00E40BC7"/>
    <w:rsid w:val="00E40CE1"/>
    <w:rsid w:val="00E40E38"/>
    <w:rsid w:val="00E4149A"/>
    <w:rsid w:val="00E41610"/>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CCA"/>
    <w:rsid w:val="00E42DFF"/>
    <w:rsid w:val="00E42E34"/>
    <w:rsid w:val="00E42E53"/>
    <w:rsid w:val="00E43029"/>
    <w:rsid w:val="00E434C7"/>
    <w:rsid w:val="00E43703"/>
    <w:rsid w:val="00E43870"/>
    <w:rsid w:val="00E438D3"/>
    <w:rsid w:val="00E43A21"/>
    <w:rsid w:val="00E43BF2"/>
    <w:rsid w:val="00E440FA"/>
    <w:rsid w:val="00E44AD6"/>
    <w:rsid w:val="00E454D5"/>
    <w:rsid w:val="00E4550F"/>
    <w:rsid w:val="00E45800"/>
    <w:rsid w:val="00E45A62"/>
    <w:rsid w:val="00E45BCC"/>
    <w:rsid w:val="00E45DFA"/>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AB"/>
    <w:rsid w:val="00E511DE"/>
    <w:rsid w:val="00E512C8"/>
    <w:rsid w:val="00E516E1"/>
    <w:rsid w:val="00E52129"/>
    <w:rsid w:val="00E52337"/>
    <w:rsid w:val="00E5237E"/>
    <w:rsid w:val="00E5266A"/>
    <w:rsid w:val="00E52753"/>
    <w:rsid w:val="00E52766"/>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9EE"/>
    <w:rsid w:val="00E55AA2"/>
    <w:rsid w:val="00E55B19"/>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2DB"/>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A95"/>
    <w:rsid w:val="00E91C67"/>
    <w:rsid w:val="00E91C6C"/>
    <w:rsid w:val="00E91EA0"/>
    <w:rsid w:val="00E92279"/>
    <w:rsid w:val="00E92556"/>
    <w:rsid w:val="00E9272E"/>
    <w:rsid w:val="00E92935"/>
    <w:rsid w:val="00E92E12"/>
    <w:rsid w:val="00E92E8D"/>
    <w:rsid w:val="00E92F35"/>
    <w:rsid w:val="00E93F0D"/>
    <w:rsid w:val="00E93F66"/>
    <w:rsid w:val="00E941E4"/>
    <w:rsid w:val="00E94397"/>
    <w:rsid w:val="00E94474"/>
    <w:rsid w:val="00E94522"/>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16"/>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400"/>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4D"/>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D30"/>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58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4FD9"/>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3A"/>
    <w:rsid w:val="00EE7A64"/>
    <w:rsid w:val="00EE7E48"/>
    <w:rsid w:val="00EE7E55"/>
    <w:rsid w:val="00EF0039"/>
    <w:rsid w:val="00EF0040"/>
    <w:rsid w:val="00EF03DD"/>
    <w:rsid w:val="00EF0571"/>
    <w:rsid w:val="00EF066F"/>
    <w:rsid w:val="00EF07E4"/>
    <w:rsid w:val="00EF0929"/>
    <w:rsid w:val="00EF09AA"/>
    <w:rsid w:val="00EF0B76"/>
    <w:rsid w:val="00EF0C1E"/>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4914"/>
    <w:rsid w:val="00EF5050"/>
    <w:rsid w:val="00EF5147"/>
    <w:rsid w:val="00EF5525"/>
    <w:rsid w:val="00EF5710"/>
    <w:rsid w:val="00EF5D63"/>
    <w:rsid w:val="00EF5DB8"/>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040"/>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0C6"/>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04B"/>
    <w:rsid w:val="00F2536F"/>
    <w:rsid w:val="00F253E3"/>
    <w:rsid w:val="00F2548C"/>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A8F"/>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AB"/>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0B4"/>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3A8"/>
    <w:rsid w:val="00F73624"/>
    <w:rsid w:val="00F7382E"/>
    <w:rsid w:val="00F73AE3"/>
    <w:rsid w:val="00F73C89"/>
    <w:rsid w:val="00F73EBE"/>
    <w:rsid w:val="00F73EEA"/>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AB3"/>
    <w:rsid w:val="00FA2B04"/>
    <w:rsid w:val="00FA2B5F"/>
    <w:rsid w:val="00FA2BDC"/>
    <w:rsid w:val="00FA30D7"/>
    <w:rsid w:val="00FA32D6"/>
    <w:rsid w:val="00FA32DF"/>
    <w:rsid w:val="00FA3357"/>
    <w:rsid w:val="00FA34F4"/>
    <w:rsid w:val="00FA36E7"/>
    <w:rsid w:val="00FA372C"/>
    <w:rsid w:val="00FA3779"/>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1F92"/>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AA"/>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77375"/>
    <w:pPr>
      <w:spacing w:after="120"/>
    </w:pPr>
    <w:rPr>
      <w:rFonts w:ascii="Times New Roman" w:eastAsia="Calibri Light" w:hAnsi="Times New Roman"/>
      <w:lang w:val="en-GB" w:eastAsia="en-US"/>
    </w:rPr>
  </w:style>
  <w:style w:type="paragraph" w:styleId="1">
    <w:name w:val="heading 1"/>
    <w:aliases w:val="H1"/>
    <w:next w:val="a0"/>
    <w:link w:val="1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aliases w:val="DO NOT USE_h2,h2,h21,2,Header 2,Header2,22,heading2,H2,2nd level,UNDERRUBRIK 1-2,H21,H22,H23,H24,H25,R2,E2,†berschrift 2,õberschrift 2,Head2A"/>
    <w:basedOn w:val="1"/>
    <w:next w:val="a0"/>
    <w:link w:val="20"/>
    <w:qFormat/>
    <w:rsid w:val="00D13DD9"/>
    <w:pPr>
      <w:pBdr>
        <w:top w:val="none" w:sz="0" w:space="0" w:color="auto"/>
      </w:pBdr>
      <w:spacing w:before="160" w:after="120"/>
      <w:outlineLvl w:val="1"/>
    </w:pPr>
    <w:rPr>
      <w:sz w:val="28"/>
      <w:szCs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aliases w:val="Figure Heading,FH"/>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090454"/>
    <w:pPr>
      <w:widowControl w:val="0"/>
    </w:pPr>
    <w:rPr>
      <w:rFonts w:ascii="inherit" w:eastAsia="Arial" w:hAnsi="inherit" w:cs="inherit"/>
      <w:b/>
      <w:noProof/>
      <w:color w:val="0000FF"/>
      <w:kern w:val="2"/>
      <w:sz w:val="18"/>
      <w:lang w:val="en-GB" w:eastAsia="en-US"/>
    </w:rPr>
  </w:style>
  <w:style w:type="character" w:styleId="a8">
    <w:name w:val="footnote reference"/>
    <w:semiHidden/>
    <w:rsid w:val="00090454"/>
    <w:rPr>
      <w:rFonts w:ascii="inherit" w:eastAsia="Arial" w:hAnsi="inherit" w:cs="inherit"/>
      <w:b/>
      <w:color w:val="0000FF"/>
      <w:kern w:val="2"/>
      <w:position w:val="6"/>
      <w:sz w:val="16"/>
      <w:lang w:val="en-US" w:eastAsia="zh-CN" w:bidi="ar-SA"/>
    </w:rPr>
  </w:style>
  <w:style w:type="paragraph" w:styleId="a9">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qFormat/>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a0"/>
    <w:semiHidden/>
    <w:rsid w:val="00090454"/>
    <w:pPr>
      <w:ind w:left="1985" w:hanging="1985"/>
    </w:pPr>
  </w:style>
  <w:style w:type="paragraph" w:styleId="TOC7">
    <w:name w:val="toc 7"/>
    <w:basedOn w:val="TOC6"/>
    <w:next w:val="a0"/>
    <w:semiHidden/>
    <w:rsid w:val="00090454"/>
    <w:pPr>
      <w:ind w:left="2268" w:hanging="2268"/>
    </w:pPr>
  </w:style>
  <w:style w:type="paragraph" w:styleId="23">
    <w:name w:val="List Bullet 2"/>
    <w:basedOn w:val="aa"/>
    <w:semiHidden/>
    <w:rsid w:val="00090454"/>
    <w:pPr>
      <w:ind w:left="851"/>
    </w:pPr>
  </w:style>
  <w:style w:type="paragraph" w:styleId="aa">
    <w:name w:val="List Bullet"/>
    <w:basedOn w:val="a5"/>
    <w:semiHidden/>
    <w:rsid w:val="00090454"/>
  </w:style>
  <w:style w:type="paragraph" w:styleId="31">
    <w:name w:val="List Bullet 3"/>
    <w:basedOn w:val="23"/>
    <w:semiHidden/>
    <w:rsid w:val="00090454"/>
    <w:pPr>
      <w:ind w:left="1135"/>
    </w:pPr>
  </w:style>
  <w:style w:type="paragraph" w:customStyle="1" w:styleId="EQ">
    <w:name w:val="EQ"/>
    <w:basedOn w:val="a0"/>
    <w:next w:val="a0"/>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2">
    <w:name w:val="List 3"/>
    <w:basedOn w:val="24"/>
    <w:semiHidden/>
    <w:rsid w:val="00090454"/>
    <w:pPr>
      <w:ind w:left="1135"/>
    </w:pPr>
  </w:style>
  <w:style w:type="paragraph" w:styleId="41">
    <w:name w:val="List 4"/>
    <w:basedOn w:val="32"/>
    <w:semiHidden/>
    <w:rsid w:val="00090454"/>
    <w:pPr>
      <w:ind w:left="1418"/>
    </w:pPr>
  </w:style>
  <w:style w:type="paragraph" w:styleId="51">
    <w:name w:val="List 5"/>
    <w:basedOn w:val="41"/>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2">
    <w:name w:val="List Bullet 4"/>
    <w:basedOn w:val="31"/>
    <w:semiHidden/>
    <w:rsid w:val="00090454"/>
    <w:pPr>
      <w:ind w:left="1418"/>
    </w:pPr>
  </w:style>
  <w:style w:type="paragraph" w:styleId="52">
    <w:name w:val="List Bullet 5"/>
    <w:basedOn w:val="42"/>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2"/>
    <w:link w:val="B3Char2"/>
    <w:qFormat/>
    <w:rsid w:val="00090454"/>
    <w:rPr>
      <w:rFonts w:ascii="inherit" w:eastAsia="Arial" w:hAnsi="inherit" w:cs="inherit"/>
      <w:color w:val="0000FF"/>
      <w:kern w:val="2"/>
    </w:rPr>
  </w:style>
  <w:style w:type="paragraph" w:customStyle="1" w:styleId="B4">
    <w:name w:val="B4"/>
    <w:basedOn w:val="41"/>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1"/>
    <w:semiHidden/>
    <w:rsid w:val="00090454"/>
  </w:style>
  <w:style w:type="paragraph" w:styleId="ab">
    <w:name w:val="footer"/>
    <w:basedOn w:val="a6"/>
    <w:link w:val="ac"/>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d">
    <w:name w:val="Hyperlink"/>
    <w:uiPriority w:val="99"/>
    <w:semiHidden/>
    <w:rsid w:val="00090454"/>
    <w:rPr>
      <w:rFonts w:ascii="inherit" w:eastAsia="Arial" w:hAnsi="inherit" w:cs="inherit"/>
      <w:color w:val="0000FF"/>
      <w:kern w:val="2"/>
      <w:u w:val="single"/>
      <w:lang w:val="en-US" w:eastAsia="zh-CN" w:bidi="ar-SA"/>
    </w:rPr>
  </w:style>
  <w:style w:type="character" w:styleId="ae">
    <w:name w:val="annotation reference"/>
    <w:qFormat/>
    <w:rsid w:val="00090454"/>
    <w:rPr>
      <w:rFonts w:ascii="inherit" w:eastAsia="Arial" w:hAnsi="inherit" w:cs="inherit"/>
      <w:color w:val="0000FF"/>
      <w:kern w:val="2"/>
      <w:sz w:val="16"/>
      <w:lang w:val="en-US" w:eastAsia="zh-CN" w:bidi="ar-SA"/>
    </w:rPr>
  </w:style>
  <w:style w:type="paragraph" w:styleId="af">
    <w:name w:val="annotation text"/>
    <w:basedOn w:val="a0"/>
    <w:link w:val="af0"/>
    <w:qFormat/>
    <w:rsid w:val="00090454"/>
    <w:rPr>
      <w:rFonts w:cs="Times New Roman"/>
    </w:rPr>
  </w:style>
  <w:style w:type="character" w:styleId="af1">
    <w:name w:val="FollowedHyperlink"/>
    <w:semiHidden/>
    <w:rsid w:val="00090454"/>
    <w:rPr>
      <w:rFonts w:ascii="inherit" w:eastAsia="Arial" w:hAnsi="inherit" w:cs="inherit"/>
      <w:color w:val="0000FF"/>
      <w:kern w:val="2"/>
      <w:u w:val="single"/>
      <w:lang w:val="en-US" w:eastAsia="zh-CN" w:bidi="ar-SA"/>
    </w:rPr>
  </w:style>
  <w:style w:type="paragraph" w:styleId="af2">
    <w:name w:val="Balloon Text"/>
    <w:basedOn w:val="a0"/>
    <w:semiHidden/>
    <w:rsid w:val="00090454"/>
    <w:rPr>
      <w:rFonts w:ascii="Arial" w:hAnsi="Arial" w:cs="Arial"/>
      <w:sz w:val="16"/>
      <w:szCs w:val="16"/>
    </w:rPr>
  </w:style>
  <w:style w:type="paragraph" w:styleId="af3">
    <w:name w:val="annotation subject"/>
    <w:basedOn w:val="af"/>
    <w:next w:val="af"/>
    <w:semiHidden/>
    <w:rsid w:val="00090454"/>
    <w:rPr>
      <w:b/>
      <w:bCs/>
    </w:rPr>
  </w:style>
  <w:style w:type="paragraph" w:styleId="af4">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5">
    <w:name w:val="Table Grid"/>
    <w:aliases w:val="TableGrid,ST Table,Check(v),Table-Text,x Tableau page de garde"/>
    <w:basedOn w:val="a2"/>
    <w:uiPriority w:val="3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6">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7">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8">
    <w:name w:val="Emphasis"/>
    <w:uiPriority w:val="20"/>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9">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a">
    <w:name w:val="Title"/>
    <w:basedOn w:val="a0"/>
    <w:qFormat/>
    <w:rsid w:val="006B0C73"/>
    <w:pPr>
      <w:spacing w:before="240" w:after="60"/>
      <w:jc w:val="center"/>
      <w:outlineLvl w:val="0"/>
    </w:pPr>
    <w:rPr>
      <w:rFonts w:ascii="inherit" w:eastAsia="Arial" w:hAnsi="inherit" w:cs="inherit"/>
      <w:b/>
      <w:bCs/>
      <w:sz w:val="32"/>
      <w:szCs w:val="32"/>
    </w:rPr>
  </w:style>
  <w:style w:type="table" w:styleId="afb">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0"/>
    <w:next w:val="a0"/>
    <w:semiHidden/>
    <w:rsid w:val="006B0C73"/>
  </w:style>
  <w:style w:type="paragraph" w:styleId="afd">
    <w:name w:val="Plain Text"/>
    <w:basedOn w:val="a0"/>
    <w:semiHidden/>
    <w:rsid w:val="006B0C73"/>
    <w:rPr>
      <w:rFonts w:ascii="Arial" w:eastAsia="Arial" w:hAnsi="inherit" w:cs="inherit"/>
      <w:sz w:val="21"/>
      <w:szCs w:val="21"/>
    </w:rPr>
  </w:style>
  <w:style w:type="table" w:styleId="afe">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0"/>
    <w:semiHidden/>
    <w:rsid w:val="006B0C73"/>
  </w:style>
  <w:style w:type="paragraph" w:styleId="aff0">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3">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7">
    <w:name w:val="List Continue 3"/>
    <w:basedOn w:val="a0"/>
    <w:semiHidden/>
    <w:rsid w:val="006B0C73"/>
    <w:pPr>
      <w:ind w:leftChars="600" w:left="1260"/>
    </w:pPr>
  </w:style>
  <w:style w:type="paragraph" w:styleId="44">
    <w:name w:val="List Continue 4"/>
    <w:basedOn w:val="a0"/>
    <w:semiHidden/>
    <w:rsid w:val="006B0C73"/>
    <w:pPr>
      <w:ind w:leftChars="800" w:left="1680"/>
    </w:pPr>
  </w:style>
  <w:style w:type="paragraph" w:styleId="53">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4">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Normal (Web)"/>
    <w:basedOn w:val="a0"/>
    <w:uiPriority w:val="99"/>
    <w:rsid w:val="006B0C73"/>
    <w:rPr>
      <w:sz w:val="24"/>
      <w:szCs w:val="24"/>
    </w:rPr>
  </w:style>
  <w:style w:type="paragraph" w:styleId="aff6">
    <w:name w:val="Signature"/>
    <w:basedOn w:val="a0"/>
    <w:semiHidden/>
    <w:rsid w:val="006B0C73"/>
    <w:pPr>
      <w:ind w:leftChars="2100" w:left="100"/>
    </w:pPr>
  </w:style>
  <w:style w:type="paragraph" w:styleId="aff7">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8">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9">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a">
    <w:name w:val="line number"/>
    <w:basedOn w:val="a1"/>
    <w:semiHidden/>
    <w:rsid w:val="006B0C73"/>
  </w:style>
  <w:style w:type="character" w:styleId="affb">
    <w:name w:val="Strong"/>
    <w:uiPriority w:val="22"/>
    <w:qFormat/>
    <w:rsid w:val="006B0C73"/>
    <w:rPr>
      <w:rFonts w:ascii="inherit" w:eastAsia="Arial" w:hAnsi="inherit" w:cs="inherit"/>
      <w:b/>
      <w:bCs/>
      <w:color w:val="0000FF"/>
      <w:kern w:val="2"/>
      <w:lang w:val="en-US" w:eastAsia="zh-CN" w:bidi="ar-SA"/>
    </w:rPr>
  </w:style>
  <w:style w:type="character" w:styleId="affc">
    <w:name w:val="page number"/>
    <w:basedOn w:val="a1"/>
    <w:semiHidden/>
    <w:rsid w:val="006B0C73"/>
  </w:style>
  <w:style w:type="paragraph" w:styleId="affd">
    <w:name w:val="Body Text First Indent"/>
    <w:basedOn w:val="af7"/>
    <w:semiHidden/>
    <w:rsid w:val="006B0C73"/>
    <w:pPr>
      <w:ind w:firstLineChars="100" w:firstLine="420"/>
      <w:jc w:val="left"/>
    </w:pPr>
    <w:rPr>
      <w:szCs w:val="20"/>
      <w:lang w:val="en-GB"/>
    </w:rPr>
  </w:style>
  <w:style w:type="paragraph" w:styleId="affe">
    <w:name w:val="Body Text Indent"/>
    <w:basedOn w:val="a0"/>
    <w:semiHidden/>
    <w:rsid w:val="006B0C73"/>
    <w:pPr>
      <w:ind w:leftChars="200" w:left="420"/>
    </w:pPr>
  </w:style>
  <w:style w:type="paragraph" w:styleId="2f">
    <w:name w:val="Body Text First Indent 2"/>
    <w:basedOn w:val="affe"/>
    <w:semiHidden/>
    <w:rsid w:val="006B0C73"/>
    <w:pPr>
      <w:ind w:firstLineChars="200" w:firstLine="420"/>
    </w:pPr>
  </w:style>
  <w:style w:type="paragraph" w:styleId="afff">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c">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d">
    <w:name w:val="Body Text Indent 3"/>
    <w:basedOn w:val="a0"/>
    <w:semiHidden/>
    <w:rsid w:val="006B0C73"/>
    <w:pPr>
      <w:ind w:leftChars="200" w:left="420"/>
    </w:pPr>
    <w:rPr>
      <w:sz w:val="16"/>
      <w:szCs w:val="16"/>
    </w:rPr>
  </w:style>
  <w:style w:type="paragraph" w:styleId="afff0">
    <w:name w:val="Note Heading"/>
    <w:basedOn w:val="a0"/>
    <w:next w:val="a0"/>
    <w:semiHidden/>
    <w:rsid w:val="006B0C73"/>
    <w:pPr>
      <w:jc w:val="center"/>
    </w:pPr>
  </w:style>
  <w:style w:type="table" w:styleId="afff1">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f"/>
    <w:next w:val="af"/>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6261AE"/>
    <w:rPr>
      <w:rFonts w:ascii="inherit" w:eastAsia="Arial" w:hAnsi="inherit" w:cs="inherit"/>
      <w:b/>
      <w:noProof/>
      <w:color w:val="0000FF"/>
      <w:kern w:val="2"/>
      <w:sz w:val="18"/>
      <w:lang w:val="en-GB" w:eastAsia="en-US" w:bidi="ar-SA"/>
    </w:rPr>
  </w:style>
  <w:style w:type="paragraph" w:styleId="aff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出段落,列"/>
    <w:basedOn w:val="a0"/>
    <w:link w:val="afff3"/>
    <w:uiPriority w:val="34"/>
    <w:qFormat/>
    <w:rsid w:val="00F40600"/>
    <w:pPr>
      <w:ind w:firstLineChars="200" w:firstLine="420"/>
    </w:pPr>
    <w:rPr>
      <w:rFonts w:cs="inherit"/>
      <w:color w:val="000000" w:themeColor="text1"/>
      <w:kern w:val="2"/>
    </w:rPr>
  </w:style>
  <w:style w:type="paragraph" w:styleId="afff4">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fff5">
    <w:name w:val="编写建议"/>
    <w:basedOn w:val="a0"/>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fff5"/>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af0">
    <w:name w:val="批注文字 字符"/>
    <w:link w:val="af"/>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aff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2"/>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fff6">
    <w:name w:val="首标题"/>
    <w:rsid w:val="00D065BF"/>
    <w:rPr>
      <w:rFonts w:ascii="inherit" w:eastAsia="Arial" w:hAnsi="inherit"/>
      <w:sz w:val="24"/>
    </w:rPr>
  </w:style>
  <w:style w:type="character" w:customStyle="1" w:styleId="ac">
    <w:name w:val="页脚 字符"/>
    <w:link w:val="ab"/>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5"/>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0">
    <w:name w:val="标题 1 字符"/>
    <w:aliases w:val="H1 字符"/>
    <w:basedOn w:val="a1"/>
    <w:link w:val="1"/>
    <w:rsid w:val="00C94E78"/>
    <w:rPr>
      <w:rFonts w:ascii="inherit" w:hAnsi="inherit"/>
      <w:sz w:val="36"/>
      <w:lang w:val="en-GB" w:eastAsia="en-US"/>
    </w:rPr>
  </w:style>
  <w:style w:type="table" w:customStyle="1" w:styleId="2f2">
    <w:name w:val="网格型2"/>
    <w:basedOn w:val="a2"/>
    <w:next w:val="af5"/>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2"/>
    <w:next w:val="af5"/>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TACChar">
    <w:name w:val="TAC Char"/>
    <w:link w:val="TAC"/>
    <w:rsid w:val="00E45DFA"/>
    <w:rPr>
      <w:rFonts w:ascii="inherit" w:eastAsia="Arial" w:hAnsi="inherit" w:cs="inherit"/>
      <w:color w:val="0000FF"/>
      <w:kern w:val="2"/>
      <w:sz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7D5795"/>
    <w:rPr>
      <w:rFonts w:ascii="inherit" w:hAnsi="inherit"/>
      <w:sz w:val="28"/>
      <w:szCs w:val="28"/>
      <w:lang w:val="en-GB" w:eastAsia="en-US"/>
    </w:rPr>
  </w:style>
  <w:style w:type="character" w:customStyle="1" w:styleId="normaltextrun">
    <w:name w:val="normaltextrun"/>
    <w:basedOn w:val="a1"/>
    <w:rsid w:val="00A703DB"/>
  </w:style>
  <w:style w:type="character" w:customStyle="1" w:styleId="wacimagecontainer">
    <w:name w:val="wacimagecontainer"/>
    <w:basedOn w:val="a1"/>
    <w:rsid w:val="00647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29232289">
      <w:bodyDiv w:val="1"/>
      <w:marLeft w:val="0"/>
      <w:marRight w:val="0"/>
      <w:marTop w:val="0"/>
      <w:marBottom w:val="0"/>
      <w:divBdr>
        <w:top w:val="none" w:sz="0" w:space="0" w:color="auto"/>
        <w:left w:val="none" w:sz="0" w:space="0" w:color="auto"/>
        <w:bottom w:val="none" w:sz="0" w:space="0" w:color="auto"/>
        <w:right w:val="none" w:sz="0" w:space="0" w:color="auto"/>
      </w:divBdr>
      <w:divsChild>
        <w:div w:id="1013455726">
          <w:marLeft w:val="965"/>
          <w:marRight w:val="0"/>
          <w:marTop w:val="0"/>
          <w:marBottom w:val="120"/>
          <w:divBdr>
            <w:top w:val="none" w:sz="0" w:space="0" w:color="auto"/>
            <w:left w:val="none" w:sz="0" w:space="0" w:color="auto"/>
            <w:bottom w:val="none" w:sz="0" w:space="0" w:color="auto"/>
            <w:right w:val="none" w:sz="0" w:space="0" w:color="auto"/>
          </w:divBdr>
        </w:div>
        <w:div w:id="2114857236">
          <w:marLeft w:val="965"/>
          <w:marRight w:val="0"/>
          <w:marTop w:val="0"/>
          <w:marBottom w:val="12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38964874">
      <w:bodyDiv w:val="1"/>
      <w:marLeft w:val="0"/>
      <w:marRight w:val="0"/>
      <w:marTop w:val="0"/>
      <w:marBottom w:val="0"/>
      <w:divBdr>
        <w:top w:val="none" w:sz="0" w:space="0" w:color="auto"/>
        <w:left w:val="none" w:sz="0" w:space="0" w:color="auto"/>
        <w:bottom w:val="none" w:sz="0" w:space="0" w:color="auto"/>
        <w:right w:val="none" w:sz="0" w:space="0" w:color="auto"/>
      </w:divBdr>
      <w:divsChild>
        <w:div w:id="1977028526">
          <w:marLeft w:val="0"/>
          <w:marRight w:val="0"/>
          <w:marTop w:val="0"/>
          <w:marBottom w:val="0"/>
          <w:divBdr>
            <w:top w:val="none" w:sz="0" w:space="0" w:color="auto"/>
            <w:left w:val="none" w:sz="0" w:space="0" w:color="auto"/>
            <w:bottom w:val="none" w:sz="0" w:space="0" w:color="auto"/>
            <w:right w:val="none" w:sz="0" w:space="0" w:color="auto"/>
          </w:divBdr>
          <w:divsChild>
            <w:div w:id="333073636">
              <w:marLeft w:val="0"/>
              <w:marRight w:val="0"/>
              <w:marTop w:val="0"/>
              <w:marBottom w:val="0"/>
              <w:divBdr>
                <w:top w:val="none" w:sz="0" w:space="0" w:color="auto"/>
                <w:left w:val="none" w:sz="0" w:space="0" w:color="auto"/>
                <w:bottom w:val="none" w:sz="0" w:space="0" w:color="auto"/>
                <w:right w:val="none" w:sz="0" w:space="0" w:color="auto"/>
              </w:divBdr>
              <w:divsChild>
                <w:div w:id="1886870271">
                  <w:marLeft w:val="0"/>
                  <w:marRight w:val="0"/>
                  <w:marTop w:val="0"/>
                  <w:marBottom w:val="0"/>
                  <w:divBdr>
                    <w:top w:val="none" w:sz="0" w:space="0" w:color="auto"/>
                    <w:left w:val="none" w:sz="0" w:space="0" w:color="auto"/>
                    <w:bottom w:val="none" w:sz="0" w:space="0" w:color="auto"/>
                    <w:right w:val="none" w:sz="0" w:space="0" w:color="auto"/>
                  </w:divBdr>
                  <w:divsChild>
                    <w:div w:id="1716389885">
                      <w:marLeft w:val="0"/>
                      <w:marRight w:val="0"/>
                      <w:marTop w:val="0"/>
                      <w:marBottom w:val="0"/>
                      <w:divBdr>
                        <w:top w:val="none" w:sz="0" w:space="0" w:color="auto"/>
                        <w:left w:val="none" w:sz="0" w:space="0" w:color="auto"/>
                        <w:bottom w:val="none" w:sz="0" w:space="0" w:color="auto"/>
                        <w:right w:val="none" w:sz="0" w:space="0" w:color="auto"/>
                      </w:divBdr>
                      <w:divsChild>
                        <w:div w:id="2132742655">
                          <w:marLeft w:val="0"/>
                          <w:marRight w:val="0"/>
                          <w:marTop w:val="0"/>
                          <w:marBottom w:val="0"/>
                          <w:divBdr>
                            <w:top w:val="none" w:sz="0" w:space="0" w:color="auto"/>
                            <w:left w:val="none" w:sz="0" w:space="0" w:color="auto"/>
                            <w:bottom w:val="none" w:sz="0" w:space="0" w:color="auto"/>
                            <w:right w:val="none" w:sz="0" w:space="0" w:color="auto"/>
                          </w:divBdr>
                          <w:divsChild>
                            <w:div w:id="6983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6795734">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45383428">
      <w:bodyDiv w:val="1"/>
      <w:marLeft w:val="0"/>
      <w:marRight w:val="0"/>
      <w:marTop w:val="0"/>
      <w:marBottom w:val="0"/>
      <w:divBdr>
        <w:top w:val="none" w:sz="0" w:space="0" w:color="auto"/>
        <w:left w:val="none" w:sz="0" w:space="0" w:color="auto"/>
        <w:bottom w:val="none" w:sz="0" w:space="0" w:color="auto"/>
        <w:right w:val="none" w:sz="0" w:space="0" w:color="auto"/>
      </w:divBdr>
    </w:div>
    <w:div w:id="273753308">
      <w:bodyDiv w:val="1"/>
      <w:marLeft w:val="0"/>
      <w:marRight w:val="0"/>
      <w:marTop w:val="0"/>
      <w:marBottom w:val="0"/>
      <w:divBdr>
        <w:top w:val="none" w:sz="0" w:space="0" w:color="auto"/>
        <w:left w:val="none" w:sz="0" w:space="0" w:color="auto"/>
        <w:bottom w:val="none" w:sz="0" w:space="0" w:color="auto"/>
        <w:right w:val="none" w:sz="0" w:space="0" w:color="auto"/>
      </w:divBdr>
      <w:divsChild>
        <w:div w:id="72900795">
          <w:marLeft w:val="0"/>
          <w:marRight w:val="0"/>
          <w:marTop w:val="0"/>
          <w:marBottom w:val="0"/>
          <w:divBdr>
            <w:top w:val="none" w:sz="0" w:space="0" w:color="auto"/>
            <w:left w:val="none" w:sz="0" w:space="0" w:color="auto"/>
            <w:bottom w:val="none" w:sz="0" w:space="0" w:color="auto"/>
            <w:right w:val="none" w:sz="0" w:space="0" w:color="auto"/>
          </w:divBdr>
          <w:divsChild>
            <w:div w:id="1282569905">
              <w:marLeft w:val="0"/>
              <w:marRight w:val="0"/>
              <w:marTop w:val="0"/>
              <w:marBottom w:val="0"/>
              <w:divBdr>
                <w:top w:val="none" w:sz="0" w:space="0" w:color="auto"/>
                <w:left w:val="none" w:sz="0" w:space="0" w:color="auto"/>
                <w:bottom w:val="none" w:sz="0" w:space="0" w:color="auto"/>
                <w:right w:val="none" w:sz="0" w:space="0" w:color="auto"/>
              </w:divBdr>
              <w:divsChild>
                <w:div w:id="853763381">
                  <w:marLeft w:val="0"/>
                  <w:marRight w:val="0"/>
                  <w:marTop w:val="0"/>
                  <w:marBottom w:val="0"/>
                  <w:divBdr>
                    <w:top w:val="none" w:sz="0" w:space="0" w:color="auto"/>
                    <w:left w:val="none" w:sz="0" w:space="0" w:color="auto"/>
                    <w:bottom w:val="none" w:sz="0" w:space="0" w:color="auto"/>
                    <w:right w:val="none" w:sz="0" w:space="0" w:color="auto"/>
                  </w:divBdr>
                  <w:divsChild>
                    <w:div w:id="1120494263">
                      <w:marLeft w:val="0"/>
                      <w:marRight w:val="0"/>
                      <w:marTop w:val="0"/>
                      <w:marBottom w:val="0"/>
                      <w:divBdr>
                        <w:top w:val="none" w:sz="0" w:space="0" w:color="auto"/>
                        <w:left w:val="none" w:sz="0" w:space="0" w:color="auto"/>
                        <w:bottom w:val="none" w:sz="0" w:space="0" w:color="auto"/>
                        <w:right w:val="none" w:sz="0" w:space="0" w:color="auto"/>
                      </w:divBdr>
                      <w:divsChild>
                        <w:div w:id="1806269577">
                          <w:marLeft w:val="0"/>
                          <w:marRight w:val="0"/>
                          <w:marTop w:val="0"/>
                          <w:marBottom w:val="0"/>
                          <w:divBdr>
                            <w:top w:val="none" w:sz="0" w:space="0" w:color="auto"/>
                            <w:left w:val="none" w:sz="0" w:space="0" w:color="auto"/>
                            <w:bottom w:val="none" w:sz="0" w:space="0" w:color="auto"/>
                            <w:right w:val="none" w:sz="0" w:space="0" w:color="auto"/>
                          </w:divBdr>
                          <w:divsChild>
                            <w:div w:id="18448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1634113">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5636597">
      <w:bodyDiv w:val="1"/>
      <w:marLeft w:val="0"/>
      <w:marRight w:val="0"/>
      <w:marTop w:val="0"/>
      <w:marBottom w:val="0"/>
      <w:divBdr>
        <w:top w:val="none" w:sz="0" w:space="0" w:color="auto"/>
        <w:left w:val="none" w:sz="0" w:space="0" w:color="auto"/>
        <w:bottom w:val="none" w:sz="0" w:space="0" w:color="auto"/>
        <w:right w:val="none" w:sz="0" w:space="0" w:color="auto"/>
      </w:divBdr>
      <w:divsChild>
        <w:div w:id="1232038953">
          <w:marLeft w:val="0"/>
          <w:marRight w:val="0"/>
          <w:marTop w:val="0"/>
          <w:marBottom w:val="0"/>
          <w:divBdr>
            <w:top w:val="none" w:sz="0" w:space="0" w:color="auto"/>
            <w:left w:val="none" w:sz="0" w:space="0" w:color="auto"/>
            <w:bottom w:val="none" w:sz="0" w:space="0" w:color="auto"/>
            <w:right w:val="none" w:sz="0" w:space="0" w:color="auto"/>
          </w:divBdr>
        </w:div>
      </w:divsChild>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77730554">
      <w:bodyDiv w:val="1"/>
      <w:marLeft w:val="0"/>
      <w:marRight w:val="0"/>
      <w:marTop w:val="0"/>
      <w:marBottom w:val="0"/>
      <w:divBdr>
        <w:top w:val="none" w:sz="0" w:space="0" w:color="auto"/>
        <w:left w:val="none" w:sz="0" w:space="0" w:color="auto"/>
        <w:bottom w:val="none" w:sz="0" w:space="0" w:color="auto"/>
        <w:right w:val="none" w:sz="0" w:space="0" w:color="auto"/>
      </w:divBdr>
      <w:divsChild>
        <w:div w:id="171341573">
          <w:marLeft w:val="0"/>
          <w:marRight w:val="0"/>
          <w:marTop w:val="0"/>
          <w:marBottom w:val="0"/>
          <w:divBdr>
            <w:top w:val="none" w:sz="0" w:space="0" w:color="auto"/>
            <w:left w:val="none" w:sz="0" w:space="0" w:color="auto"/>
            <w:bottom w:val="none" w:sz="0" w:space="0" w:color="auto"/>
            <w:right w:val="none" w:sz="0" w:space="0" w:color="auto"/>
          </w:divBdr>
          <w:divsChild>
            <w:div w:id="1786463023">
              <w:marLeft w:val="0"/>
              <w:marRight w:val="0"/>
              <w:marTop w:val="0"/>
              <w:marBottom w:val="0"/>
              <w:divBdr>
                <w:top w:val="none" w:sz="0" w:space="0" w:color="auto"/>
                <w:left w:val="none" w:sz="0" w:space="0" w:color="auto"/>
                <w:bottom w:val="none" w:sz="0" w:space="0" w:color="auto"/>
                <w:right w:val="none" w:sz="0" w:space="0" w:color="auto"/>
              </w:divBdr>
              <w:divsChild>
                <w:div w:id="43991594">
                  <w:marLeft w:val="0"/>
                  <w:marRight w:val="0"/>
                  <w:marTop w:val="0"/>
                  <w:marBottom w:val="0"/>
                  <w:divBdr>
                    <w:top w:val="none" w:sz="0" w:space="0" w:color="auto"/>
                    <w:left w:val="none" w:sz="0" w:space="0" w:color="auto"/>
                    <w:bottom w:val="none" w:sz="0" w:space="0" w:color="auto"/>
                    <w:right w:val="none" w:sz="0" w:space="0" w:color="auto"/>
                  </w:divBdr>
                  <w:divsChild>
                    <w:div w:id="1481120920">
                      <w:marLeft w:val="0"/>
                      <w:marRight w:val="0"/>
                      <w:marTop w:val="0"/>
                      <w:marBottom w:val="0"/>
                      <w:divBdr>
                        <w:top w:val="none" w:sz="0" w:space="0" w:color="auto"/>
                        <w:left w:val="none" w:sz="0" w:space="0" w:color="auto"/>
                        <w:bottom w:val="none" w:sz="0" w:space="0" w:color="auto"/>
                        <w:right w:val="none" w:sz="0" w:space="0" w:color="auto"/>
                      </w:divBdr>
                      <w:divsChild>
                        <w:div w:id="875967187">
                          <w:marLeft w:val="0"/>
                          <w:marRight w:val="0"/>
                          <w:marTop w:val="0"/>
                          <w:marBottom w:val="0"/>
                          <w:divBdr>
                            <w:top w:val="none" w:sz="0" w:space="0" w:color="auto"/>
                            <w:left w:val="none" w:sz="0" w:space="0" w:color="auto"/>
                            <w:bottom w:val="none" w:sz="0" w:space="0" w:color="auto"/>
                            <w:right w:val="none" w:sz="0" w:space="0" w:color="auto"/>
                          </w:divBdr>
                          <w:divsChild>
                            <w:div w:id="45475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795098698">
      <w:bodyDiv w:val="1"/>
      <w:marLeft w:val="0"/>
      <w:marRight w:val="0"/>
      <w:marTop w:val="0"/>
      <w:marBottom w:val="0"/>
      <w:divBdr>
        <w:top w:val="none" w:sz="0" w:space="0" w:color="auto"/>
        <w:left w:val="none" w:sz="0" w:space="0" w:color="auto"/>
        <w:bottom w:val="none" w:sz="0" w:space="0" w:color="auto"/>
        <w:right w:val="none" w:sz="0" w:space="0" w:color="auto"/>
      </w:divBdr>
    </w:div>
    <w:div w:id="816461800">
      <w:bodyDiv w:val="1"/>
      <w:marLeft w:val="0"/>
      <w:marRight w:val="0"/>
      <w:marTop w:val="0"/>
      <w:marBottom w:val="0"/>
      <w:divBdr>
        <w:top w:val="none" w:sz="0" w:space="0" w:color="auto"/>
        <w:left w:val="none" w:sz="0" w:space="0" w:color="auto"/>
        <w:bottom w:val="none" w:sz="0" w:space="0" w:color="auto"/>
        <w:right w:val="none" w:sz="0" w:space="0" w:color="auto"/>
      </w:divBdr>
    </w:div>
    <w:div w:id="833640702">
      <w:bodyDiv w:val="1"/>
      <w:marLeft w:val="0"/>
      <w:marRight w:val="0"/>
      <w:marTop w:val="0"/>
      <w:marBottom w:val="0"/>
      <w:divBdr>
        <w:top w:val="none" w:sz="0" w:space="0" w:color="auto"/>
        <w:left w:val="none" w:sz="0" w:space="0" w:color="auto"/>
        <w:bottom w:val="none" w:sz="0" w:space="0" w:color="auto"/>
        <w:right w:val="none" w:sz="0" w:space="0" w:color="auto"/>
      </w:divBdr>
      <w:divsChild>
        <w:div w:id="580799559">
          <w:marLeft w:val="0"/>
          <w:marRight w:val="0"/>
          <w:marTop w:val="0"/>
          <w:marBottom w:val="0"/>
          <w:divBdr>
            <w:top w:val="single" w:sz="2" w:space="0" w:color="E5E7EB"/>
            <w:left w:val="single" w:sz="2" w:space="0" w:color="E5E7EB"/>
            <w:bottom w:val="single" w:sz="2" w:space="0" w:color="E5E7EB"/>
            <w:right w:val="single" w:sz="2" w:space="0" w:color="E5E7EB"/>
          </w:divBdr>
          <w:divsChild>
            <w:div w:id="1660420507">
              <w:marLeft w:val="0"/>
              <w:marRight w:val="0"/>
              <w:marTop w:val="0"/>
              <w:marBottom w:val="0"/>
              <w:divBdr>
                <w:top w:val="single" w:sz="2" w:space="0" w:color="E5E7EB"/>
                <w:left w:val="single" w:sz="2" w:space="0" w:color="E5E7EB"/>
                <w:bottom w:val="single" w:sz="2" w:space="0" w:color="E5E7EB"/>
                <w:right w:val="single" w:sz="2" w:space="0" w:color="E5E7EB"/>
              </w:divBdr>
              <w:divsChild>
                <w:div w:id="1564828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5460">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89289673">
      <w:bodyDiv w:val="1"/>
      <w:marLeft w:val="0"/>
      <w:marRight w:val="0"/>
      <w:marTop w:val="0"/>
      <w:marBottom w:val="0"/>
      <w:divBdr>
        <w:top w:val="none" w:sz="0" w:space="0" w:color="auto"/>
        <w:left w:val="none" w:sz="0" w:space="0" w:color="auto"/>
        <w:bottom w:val="none" w:sz="0" w:space="0" w:color="auto"/>
        <w:right w:val="none" w:sz="0" w:space="0" w:color="auto"/>
      </w:divBdr>
      <w:divsChild>
        <w:div w:id="1637182810">
          <w:marLeft w:val="0"/>
          <w:marRight w:val="0"/>
          <w:marTop w:val="0"/>
          <w:marBottom w:val="0"/>
          <w:divBdr>
            <w:top w:val="none" w:sz="0" w:space="0" w:color="auto"/>
            <w:left w:val="none" w:sz="0" w:space="0" w:color="auto"/>
            <w:bottom w:val="none" w:sz="0" w:space="0" w:color="auto"/>
            <w:right w:val="none" w:sz="0" w:space="0" w:color="auto"/>
          </w:divBdr>
          <w:divsChild>
            <w:div w:id="1447919214">
              <w:marLeft w:val="0"/>
              <w:marRight w:val="0"/>
              <w:marTop w:val="0"/>
              <w:marBottom w:val="0"/>
              <w:divBdr>
                <w:top w:val="none" w:sz="0" w:space="0" w:color="auto"/>
                <w:left w:val="none" w:sz="0" w:space="0" w:color="auto"/>
                <w:bottom w:val="none" w:sz="0" w:space="0" w:color="auto"/>
                <w:right w:val="none" w:sz="0" w:space="0" w:color="auto"/>
              </w:divBdr>
              <w:divsChild>
                <w:div w:id="1397431854">
                  <w:marLeft w:val="0"/>
                  <w:marRight w:val="0"/>
                  <w:marTop w:val="0"/>
                  <w:marBottom w:val="0"/>
                  <w:divBdr>
                    <w:top w:val="none" w:sz="0" w:space="0" w:color="auto"/>
                    <w:left w:val="none" w:sz="0" w:space="0" w:color="auto"/>
                    <w:bottom w:val="none" w:sz="0" w:space="0" w:color="auto"/>
                    <w:right w:val="none" w:sz="0" w:space="0" w:color="auto"/>
                  </w:divBdr>
                  <w:divsChild>
                    <w:div w:id="2067024616">
                      <w:marLeft w:val="0"/>
                      <w:marRight w:val="0"/>
                      <w:marTop w:val="0"/>
                      <w:marBottom w:val="0"/>
                      <w:divBdr>
                        <w:top w:val="none" w:sz="0" w:space="0" w:color="auto"/>
                        <w:left w:val="none" w:sz="0" w:space="0" w:color="auto"/>
                        <w:bottom w:val="none" w:sz="0" w:space="0" w:color="auto"/>
                        <w:right w:val="none" w:sz="0" w:space="0" w:color="auto"/>
                      </w:divBdr>
                      <w:divsChild>
                        <w:div w:id="2075808623">
                          <w:marLeft w:val="0"/>
                          <w:marRight w:val="0"/>
                          <w:marTop w:val="0"/>
                          <w:marBottom w:val="0"/>
                          <w:divBdr>
                            <w:top w:val="none" w:sz="0" w:space="0" w:color="auto"/>
                            <w:left w:val="none" w:sz="0" w:space="0" w:color="auto"/>
                            <w:bottom w:val="none" w:sz="0" w:space="0" w:color="auto"/>
                            <w:right w:val="none" w:sz="0" w:space="0" w:color="auto"/>
                          </w:divBdr>
                          <w:divsChild>
                            <w:div w:id="7054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272054">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2047915">
      <w:bodyDiv w:val="1"/>
      <w:marLeft w:val="0"/>
      <w:marRight w:val="0"/>
      <w:marTop w:val="0"/>
      <w:marBottom w:val="0"/>
      <w:divBdr>
        <w:top w:val="none" w:sz="0" w:space="0" w:color="auto"/>
        <w:left w:val="none" w:sz="0" w:space="0" w:color="auto"/>
        <w:bottom w:val="none" w:sz="0" w:space="0" w:color="auto"/>
        <w:right w:val="none" w:sz="0" w:space="0" w:color="auto"/>
      </w:divBdr>
      <w:divsChild>
        <w:div w:id="1351569252">
          <w:marLeft w:val="965"/>
          <w:marRight w:val="0"/>
          <w:marTop w:val="0"/>
          <w:marBottom w:val="120"/>
          <w:divBdr>
            <w:top w:val="none" w:sz="0" w:space="0" w:color="auto"/>
            <w:left w:val="none" w:sz="0" w:space="0" w:color="auto"/>
            <w:bottom w:val="none" w:sz="0" w:space="0" w:color="auto"/>
            <w:right w:val="none" w:sz="0" w:space="0" w:color="auto"/>
          </w:divBdr>
        </w:div>
        <w:div w:id="36207079">
          <w:marLeft w:val="965"/>
          <w:marRight w:val="0"/>
          <w:marTop w:val="0"/>
          <w:marBottom w:val="120"/>
          <w:divBdr>
            <w:top w:val="none" w:sz="0" w:space="0" w:color="auto"/>
            <w:left w:val="none" w:sz="0" w:space="0" w:color="auto"/>
            <w:bottom w:val="none" w:sz="0" w:space="0" w:color="auto"/>
            <w:right w:val="none" w:sz="0" w:space="0" w:color="auto"/>
          </w:divBdr>
        </w:div>
      </w:divsChild>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35449484">
      <w:bodyDiv w:val="1"/>
      <w:marLeft w:val="0"/>
      <w:marRight w:val="0"/>
      <w:marTop w:val="0"/>
      <w:marBottom w:val="0"/>
      <w:divBdr>
        <w:top w:val="none" w:sz="0" w:space="0" w:color="auto"/>
        <w:left w:val="none" w:sz="0" w:space="0" w:color="auto"/>
        <w:bottom w:val="none" w:sz="0" w:space="0" w:color="auto"/>
        <w:right w:val="none" w:sz="0" w:space="0" w:color="auto"/>
      </w:divBdr>
      <w:divsChild>
        <w:div w:id="973215844">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0"/>
              <w:marRight w:val="0"/>
              <w:marTop w:val="0"/>
              <w:marBottom w:val="0"/>
              <w:divBdr>
                <w:top w:val="none" w:sz="0" w:space="0" w:color="auto"/>
                <w:left w:val="none" w:sz="0" w:space="0" w:color="auto"/>
                <w:bottom w:val="none" w:sz="0" w:space="0" w:color="auto"/>
                <w:right w:val="none" w:sz="0" w:space="0" w:color="auto"/>
              </w:divBdr>
              <w:divsChild>
                <w:div w:id="91824853">
                  <w:marLeft w:val="0"/>
                  <w:marRight w:val="0"/>
                  <w:marTop w:val="0"/>
                  <w:marBottom w:val="0"/>
                  <w:divBdr>
                    <w:top w:val="none" w:sz="0" w:space="0" w:color="auto"/>
                    <w:left w:val="none" w:sz="0" w:space="0" w:color="auto"/>
                    <w:bottom w:val="none" w:sz="0" w:space="0" w:color="auto"/>
                    <w:right w:val="none" w:sz="0" w:space="0" w:color="auto"/>
                  </w:divBdr>
                  <w:divsChild>
                    <w:div w:id="87043275">
                      <w:marLeft w:val="0"/>
                      <w:marRight w:val="0"/>
                      <w:marTop w:val="0"/>
                      <w:marBottom w:val="0"/>
                      <w:divBdr>
                        <w:top w:val="none" w:sz="0" w:space="0" w:color="auto"/>
                        <w:left w:val="none" w:sz="0" w:space="0" w:color="auto"/>
                        <w:bottom w:val="none" w:sz="0" w:space="0" w:color="auto"/>
                        <w:right w:val="none" w:sz="0" w:space="0" w:color="auto"/>
                      </w:divBdr>
                      <w:divsChild>
                        <w:div w:id="762529427">
                          <w:marLeft w:val="0"/>
                          <w:marRight w:val="0"/>
                          <w:marTop w:val="0"/>
                          <w:marBottom w:val="0"/>
                          <w:divBdr>
                            <w:top w:val="none" w:sz="0" w:space="0" w:color="auto"/>
                            <w:left w:val="none" w:sz="0" w:space="0" w:color="auto"/>
                            <w:bottom w:val="none" w:sz="0" w:space="0" w:color="auto"/>
                            <w:right w:val="none" w:sz="0" w:space="0" w:color="auto"/>
                          </w:divBdr>
                          <w:divsChild>
                            <w:div w:id="37200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690977">
      <w:bodyDiv w:val="1"/>
      <w:marLeft w:val="0"/>
      <w:marRight w:val="0"/>
      <w:marTop w:val="0"/>
      <w:marBottom w:val="0"/>
      <w:divBdr>
        <w:top w:val="none" w:sz="0" w:space="0" w:color="auto"/>
        <w:left w:val="none" w:sz="0" w:space="0" w:color="auto"/>
        <w:bottom w:val="none" w:sz="0" w:space="0" w:color="auto"/>
        <w:right w:val="none" w:sz="0" w:space="0" w:color="auto"/>
      </w:divBdr>
      <w:divsChild>
        <w:div w:id="1659654769">
          <w:marLeft w:val="0"/>
          <w:marRight w:val="0"/>
          <w:marTop w:val="0"/>
          <w:marBottom w:val="0"/>
          <w:divBdr>
            <w:top w:val="none" w:sz="0" w:space="0" w:color="auto"/>
            <w:left w:val="none" w:sz="0" w:space="0" w:color="auto"/>
            <w:bottom w:val="none" w:sz="0" w:space="0" w:color="auto"/>
            <w:right w:val="none" w:sz="0" w:space="0" w:color="auto"/>
          </w:divBdr>
          <w:divsChild>
            <w:div w:id="1485387112">
              <w:marLeft w:val="0"/>
              <w:marRight w:val="0"/>
              <w:marTop w:val="0"/>
              <w:marBottom w:val="0"/>
              <w:divBdr>
                <w:top w:val="none" w:sz="0" w:space="0" w:color="auto"/>
                <w:left w:val="none" w:sz="0" w:space="0" w:color="auto"/>
                <w:bottom w:val="none" w:sz="0" w:space="0" w:color="auto"/>
                <w:right w:val="none" w:sz="0" w:space="0" w:color="auto"/>
              </w:divBdr>
              <w:divsChild>
                <w:div w:id="821118656">
                  <w:marLeft w:val="0"/>
                  <w:marRight w:val="0"/>
                  <w:marTop w:val="0"/>
                  <w:marBottom w:val="0"/>
                  <w:divBdr>
                    <w:top w:val="none" w:sz="0" w:space="0" w:color="auto"/>
                    <w:left w:val="none" w:sz="0" w:space="0" w:color="auto"/>
                    <w:bottom w:val="none" w:sz="0" w:space="0" w:color="auto"/>
                    <w:right w:val="none" w:sz="0" w:space="0" w:color="auto"/>
                  </w:divBdr>
                  <w:divsChild>
                    <w:div w:id="93786188">
                      <w:marLeft w:val="0"/>
                      <w:marRight w:val="0"/>
                      <w:marTop w:val="0"/>
                      <w:marBottom w:val="0"/>
                      <w:divBdr>
                        <w:top w:val="none" w:sz="0" w:space="0" w:color="auto"/>
                        <w:left w:val="none" w:sz="0" w:space="0" w:color="auto"/>
                        <w:bottom w:val="none" w:sz="0" w:space="0" w:color="auto"/>
                        <w:right w:val="none" w:sz="0" w:space="0" w:color="auto"/>
                      </w:divBdr>
                      <w:divsChild>
                        <w:div w:id="616331790">
                          <w:marLeft w:val="0"/>
                          <w:marRight w:val="0"/>
                          <w:marTop w:val="0"/>
                          <w:marBottom w:val="0"/>
                          <w:divBdr>
                            <w:top w:val="none" w:sz="0" w:space="0" w:color="auto"/>
                            <w:left w:val="none" w:sz="0" w:space="0" w:color="auto"/>
                            <w:bottom w:val="none" w:sz="0" w:space="0" w:color="auto"/>
                            <w:right w:val="none" w:sz="0" w:space="0" w:color="auto"/>
                          </w:divBdr>
                          <w:divsChild>
                            <w:div w:id="4640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148097">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18814962">
      <w:bodyDiv w:val="1"/>
      <w:marLeft w:val="0"/>
      <w:marRight w:val="0"/>
      <w:marTop w:val="0"/>
      <w:marBottom w:val="0"/>
      <w:divBdr>
        <w:top w:val="none" w:sz="0" w:space="0" w:color="auto"/>
        <w:left w:val="none" w:sz="0" w:space="0" w:color="auto"/>
        <w:bottom w:val="none" w:sz="0" w:space="0" w:color="auto"/>
        <w:right w:val="none" w:sz="0" w:space="0" w:color="auto"/>
      </w:divBdr>
      <w:divsChild>
        <w:div w:id="1599605848">
          <w:marLeft w:val="0"/>
          <w:marRight w:val="0"/>
          <w:marTop w:val="0"/>
          <w:marBottom w:val="0"/>
          <w:divBdr>
            <w:top w:val="single" w:sz="2" w:space="0" w:color="E5E7EB"/>
            <w:left w:val="single" w:sz="2" w:space="0" w:color="E5E7EB"/>
            <w:bottom w:val="single" w:sz="2" w:space="0" w:color="E5E7EB"/>
            <w:right w:val="single" w:sz="2" w:space="0" w:color="E5E7EB"/>
          </w:divBdr>
          <w:divsChild>
            <w:div w:id="1245341349">
              <w:marLeft w:val="0"/>
              <w:marRight w:val="0"/>
              <w:marTop w:val="0"/>
              <w:marBottom w:val="0"/>
              <w:divBdr>
                <w:top w:val="single" w:sz="2" w:space="0" w:color="E5E7EB"/>
                <w:left w:val="single" w:sz="2" w:space="0" w:color="E5E7EB"/>
                <w:bottom w:val="single" w:sz="2" w:space="0" w:color="E5E7EB"/>
                <w:right w:val="single" w:sz="2" w:space="0" w:color="E5E7EB"/>
              </w:divBdr>
              <w:divsChild>
                <w:div w:id="1787851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0696477">
      <w:bodyDiv w:val="1"/>
      <w:marLeft w:val="0"/>
      <w:marRight w:val="0"/>
      <w:marTop w:val="0"/>
      <w:marBottom w:val="0"/>
      <w:divBdr>
        <w:top w:val="none" w:sz="0" w:space="0" w:color="auto"/>
        <w:left w:val="none" w:sz="0" w:space="0" w:color="auto"/>
        <w:bottom w:val="none" w:sz="0" w:space="0" w:color="auto"/>
        <w:right w:val="none" w:sz="0" w:space="0" w:color="auto"/>
      </w:divBdr>
      <w:divsChild>
        <w:div w:id="1721436850">
          <w:marLeft w:val="0"/>
          <w:marRight w:val="0"/>
          <w:marTop w:val="0"/>
          <w:marBottom w:val="0"/>
          <w:divBdr>
            <w:top w:val="none" w:sz="0" w:space="0" w:color="auto"/>
            <w:left w:val="none" w:sz="0" w:space="0" w:color="auto"/>
            <w:bottom w:val="none" w:sz="0" w:space="0" w:color="auto"/>
            <w:right w:val="none" w:sz="0" w:space="0" w:color="auto"/>
          </w:divBdr>
          <w:divsChild>
            <w:div w:id="772673807">
              <w:marLeft w:val="0"/>
              <w:marRight w:val="0"/>
              <w:marTop w:val="0"/>
              <w:marBottom w:val="0"/>
              <w:divBdr>
                <w:top w:val="none" w:sz="0" w:space="0" w:color="auto"/>
                <w:left w:val="none" w:sz="0" w:space="0" w:color="auto"/>
                <w:bottom w:val="none" w:sz="0" w:space="0" w:color="auto"/>
                <w:right w:val="none" w:sz="0" w:space="0" w:color="auto"/>
              </w:divBdr>
              <w:divsChild>
                <w:div w:id="1433819076">
                  <w:marLeft w:val="0"/>
                  <w:marRight w:val="0"/>
                  <w:marTop w:val="0"/>
                  <w:marBottom w:val="0"/>
                  <w:divBdr>
                    <w:top w:val="none" w:sz="0" w:space="0" w:color="auto"/>
                    <w:left w:val="none" w:sz="0" w:space="0" w:color="auto"/>
                    <w:bottom w:val="none" w:sz="0" w:space="0" w:color="auto"/>
                    <w:right w:val="none" w:sz="0" w:space="0" w:color="auto"/>
                  </w:divBdr>
                  <w:divsChild>
                    <w:div w:id="941228204">
                      <w:marLeft w:val="0"/>
                      <w:marRight w:val="0"/>
                      <w:marTop w:val="0"/>
                      <w:marBottom w:val="0"/>
                      <w:divBdr>
                        <w:top w:val="none" w:sz="0" w:space="0" w:color="auto"/>
                        <w:left w:val="none" w:sz="0" w:space="0" w:color="auto"/>
                        <w:bottom w:val="none" w:sz="0" w:space="0" w:color="auto"/>
                        <w:right w:val="none" w:sz="0" w:space="0" w:color="auto"/>
                      </w:divBdr>
                      <w:divsChild>
                        <w:div w:id="523060727">
                          <w:marLeft w:val="0"/>
                          <w:marRight w:val="0"/>
                          <w:marTop w:val="0"/>
                          <w:marBottom w:val="0"/>
                          <w:divBdr>
                            <w:top w:val="none" w:sz="0" w:space="0" w:color="auto"/>
                            <w:left w:val="none" w:sz="0" w:space="0" w:color="auto"/>
                            <w:bottom w:val="none" w:sz="0" w:space="0" w:color="auto"/>
                            <w:right w:val="none" w:sz="0" w:space="0" w:color="auto"/>
                          </w:divBdr>
                          <w:divsChild>
                            <w:div w:id="183750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015762">
      <w:bodyDiv w:val="1"/>
      <w:marLeft w:val="0"/>
      <w:marRight w:val="0"/>
      <w:marTop w:val="0"/>
      <w:marBottom w:val="0"/>
      <w:divBdr>
        <w:top w:val="none" w:sz="0" w:space="0" w:color="auto"/>
        <w:left w:val="none" w:sz="0" w:space="0" w:color="auto"/>
        <w:bottom w:val="none" w:sz="0" w:space="0" w:color="auto"/>
        <w:right w:val="none" w:sz="0" w:space="0" w:color="auto"/>
      </w:divBdr>
      <w:divsChild>
        <w:div w:id="2085712359">
          <w:marLeft w:val="0"/>
          <w:marRight w:val="0"/>
          <w:marTop w:val="0"/>
          <w:marBottom w:val="0"/>
          <w:divBdr>
            <w:top w:val="none" w:sz="0" w:space="0" w:color="auto"/>
            <w:left w:val="none" w:sz="0" w:space="0" w:color="auto"/>
            <w:bottom w:val="none" w:sz="0" w:space="0" w:color="auto"/>
            <w:right w:val="none" w:sz="0" w:space="0" w:color="auto"/>
          </w:divBdr>
          <w:divsChild>
            <w:div w:id="124206378">
              <w:marLeft w:val="0"/>
              <w:marRight w:val="0"/>
              <w:marTop w:val="0"/>
              <w:marBottom w:val="0"/>
              <w:divBdr>
                <w:top w:val="none" w:sz="0" w:space="0" w:color="auto"/>
                <w:left w:val="none" w:sz="0" w:space="0" w:color="auto"/>
                <w:bottom w:val="none" w:sz="0" w:space="0" w:color="auto"/>
                <w:right w:val="none" w:sz="0" w:space="0" w:color="auto"/>
              </w:divBdr>
              <w:divsChild>
                <w:div w:id="1484005221">
                  <w:marLeft w:val="0"/>
                  <w:marRight w:val="0"/>
                  <w:marTop w:val="0"/>
                  <w:marBottom w:val="0"/>
                  <w:divBdr>
                    <w:top w:val="none" w:sz="0" w:space="0" w:color="auto"/>
                    <w:left w:val="none" w:sz="0" w:space="0" w:color="auto"/>
                    <w:bottom w:val="none" w:sz="0" w:space="0" w:color="auto"/>
                    <w:right w:val="none" w:sz="0" w:space="0" w:color="auto"/>
                  </w:divBdr>
                  <w:divsChild>
                    <w:div w:id="1707751927">
                      <w:marLeft w:val="0"/>
                      <w:marRight w:val="0"/>
                      <w:marTop w:val="0"/>
                      <w:marBottom w:val="0"/>
                      <w:divBdr>
                        <w:top w:val="none" w:sz="0" w:space="0" w:color="auto"/>
                        <w:left w:val="none" w:sz="0" w:space="0" w:color="auto"/>
                        <w:bottom w:val="none" w:sz="0" w:space="0" w:color="auto"/>
                        <w:right w:val="none" w:sz="0" w:space="0" w:color="auto"/>
                      </w:divBdr>
                      <w:divsChild>
                        <w:div w:id="1863586570">
                          <w:marLeft w:val="0"/>
                          <w:marRight w:val="0"/>
                          <w:marTop w:val="0"/>
                          <w:marBottom w:val="0"/>
                          <w:divBdr>
                            <w:top w:val="none" w:sz="0" w:space="0" w:color="auto"/>
                            <w:left w:val="none" w:sz="0" w:space="0" w:color="auto"/>
                            <w:bottom w:val="none" w:sz="0" w:space="0" w:color="auto"/>
                            <w:right w:val="none" w:sz="0" w:space="0" w:color="auto"/>
                          </w:divBdr>
                          <w:divsChild>
                            <w:div w:id="7816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1695535">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sChild>
        <w:div w:id="1788892873">
          <w:marLeft w:val="0"/>
          <w:marRight w:val="0"/>
          <w:marTop w:val="0"/>
          <w:marBottom w:val="0"/>
          <w:divBdr>
            <w:top w:val="none" w:sz="0" w:space="0" w:color="auto"/>
            <w:left w:val="none" w:sz="0" w:space="0" w:color="auto"/>
            <w:bottom w:val="none" w:sz="0" w:space="0" w:color="auto"/>
            <w:right w:val="none" w:sz="0" w:space="0" w:color="auto"/>
          </w:divBdr>
          <w:divsChild>
            <w:div w:id="118845811">
              <w:marLeft w:val="0"/>
              <w:marRight w:val="0"/>
              <w:marTop w:val="0"/>
              <w:marBottom w:val="0"/>
              <w:divBdr>
                <w:top w:val="none" w:sz="0" w:space="0" w:color="auto"/>
                <w:left w:val="none" w:sz="0" w:space="0" w:color="auto"/>
                <w:bottom w:val="none" w:sz="0" w:space="0" w:color="auto"/>
                <w:right w:val="none" w:sz="0" w:space="0" w:color="auto"/>
              </w:divBdr>
              <w:divsChild>
                <w:div w:id="327053030">
                  <w:marLeft w:val="0"/>
                  <w:marRight w:val="0"/>
                  <w:marTop w:val="0"/>
                  <w:marBottom w:val="0"/>
                  <w:divBdr>
                    <w:top w:val="none" w:sz="0" w:space="0" w:color="auto"/>
                    <w:left w:val="none" w:sz="0" w:space="0" w:color="auto"/>
                    <w:bottom w:val="none" w:sz="0" w:space="0" w:color="auto"/>
                    <w:right w:val="none" w:sz="0" w:space="0" w:color="auto"/>
                  </w:divBdr>
                  <w:divsChild>
                    <w:div w:id="317419475">
                      <w:marLeft w:val="0"/>
                      <w:marRight w:val="0"/>
                      <w:marTop w:val="0"/>
                      <w:marBottom w:val="0"/>
                      <w:divBdr>
                        <w:top w:val="none" w:sz="0" w:space="0" w:color="auto"/>
                        <w:left w:val="none" w:sz="0" w:space="0" w:color="auto"/>
                        <w:bottom w:val="none" w:sz="0" w:space="0" w:color="auto"/>
                        <w:right w:val="none" w:sz="0" w:space="0" w:color="auto"/>
                      </w:divBdr>
                      <w:divsChild>
                        <w:div w:id="1510370692">
                          <w:marLeft w:val="0"/>
                          <w:marRight w:val="0"/>
                          <w:marTop w:val="0"/>
                          <w:marBottom w:val="0"/>
                          <w:divBdr>
                            <w:top w:val="none" w:sz="0" w:space="0" w:color="auto"/>
                            <w:left w:val="none" w:sz="0" w:space="0" w:color="auto"/>
                            <w:bottom w:val="none" w:sz="0" w:space="0" w:color="auto"/>
                            <w:right w:val="none" w:sz="0" w:space="0" w:color="auto"/>
                          </w:divBdr>
                          <w:divsChild>
                            <w:div w:id="12484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B015-65B1-4C27-8029-47592306B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580</TotalTime>
  <Pages>3</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Huawei-post130</cp:lastModifiedBy>
  <cp:revision>13</cp:revision>
  <cp:lastPrinted>2016-05-09T11:19:00Z</cp:lastPrinted>
  <dcterms:created xsi:type="dcterms:W3CDTF">2025-08-07T03:22:00Z</dcterms:created>
  <dcterms:modified xsi:type="dcterms:W3CDTF">2025-08-15T08:36:00Z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1754292264</vt:lpwstr>
  </property>
</Properties>
</file>